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7"/>
        <w:numPr>
          <w:ilvl w:val="0"/>
          <w:numId w:val="1"/>
        </w:numPr>
        <w:spacing w:afterLines="30" w:line="220" w:lineRule="exact"/>
        <w:ind w:left="482" w:leftChars="0" w:hanging="482"/>
        <w:jc w:val="both"/>
        <w:rPr>
          <w:rFonts w:ascii="標楷體" w:hAnsi="標楷體" w:eastAsia="標楷體"/>
          <w:sz w:val="22"/>
        </w:rPr>
      </w:pPr>
      <w:bookmarkStart w:id="0" w:name="_GoBack"/>
      <w:bookmarkEnd w:id="0"/>
      <w:r>
        <w:rPr>
          <w:rFonts w:hint="eastAsia" w:ascii="標楷體" w:hAnsi="標楷體" w:eastAsia="標楷體"/>
          <w:bCs/>
          <w:sz w:val="22"/>
        </w:rPr>
        <w:t>本人/本公司申辦中華電信</w:t>
      </w:r>
      <w:r>
        <w:rPr>
          <w:rFonts w:hint="eastAsia" w:ascii="標楷體" w:hAnsi="標楷體" w:eastAsia="標楷體"/>
          <w:bCs/>
          <w:color w:val="FF0000"/>
          <w:sz w:val="22"/>
        </w:rPr>
        <w:t>加值服務附加方案</w:t>
      </w:r>
      <w:r>
        <w:rPr>
          <w:rFonts w:hint="eastAsia" w:ascii="標楷體" w:hAnsi="標楷體" w:eastAsia="標楷體"/>
          <w:bCs/>
          <w:sz w:val="22"/>
        </w:rPr>
        <w:t>，</w:t>
      </w:r>
      <w:r>
        <w:rPr>
          <w:rFonts w:ascii="標楷體" w:hAnsi="標楷體" w:eastAsia="標楷體"/>
          <w:bCs/>
          <w:sz w:val="22"/>
        </w:rPr>
        <w:t>茲</w:t>
      </w:r>
      <w:r>
        <w:rPr>
          <w:rFonts w:hint="eastAsia" w:ascii="標楷體" w:hAnsi="標楷體" w:eastAsia="標楷體"/>
          <w:bCs/>
          <w:sz w:val="22"/>
        </w:rPr>
        <w:t>詳閱並</w:t>
      </w:r>
      <w:r>
        <w:rPr>
          <w:rFonts w:ascii="標楷體" w:hAnsi="標楷體" w:eastAsia="標楷體"/>
          <w:bCs/>
          <w:sz w:val="22"/>
        </w:rPr>
        <w:t>同意下列條款：</w:t>
      </w:r>
    </w:p>
    <w:p>
      <w:pPr>
        <w:pStyle w:val="7"/>
        <w:numPr>
          <w:ilvl w:val="0"/>
          <w:numId w:val="2"/>
        </w:numPr>
        <w:spacing w:afterLines="10" w:line="220" w:lineRule="exact"/>
        <w:ind w:left="567" w:leftChars="0"/>
        <w:jc w:val="both"/>
        <w:rPr>
          <w:rFonts w:ascii="標楷體" w:hAnsi="標楷體" w:eastAsia="標楷體"/>
          <w:sz w:val="20"/>
          <w:szCs w:val="20"/>
        </w:rPr>
      </w:pPr>
      <w:r>
        <w:rPr>
          <w:rFonts w:hint="eastAsia" w:ascii="標楷體" w:hAnsi="標楷體" w:eastAsia="標楷體"/>
          <w:sz w:val="20"/>
          <w:szCs w:val="20"/>
        </w:rPr>
        <w:t>參加「</w:t>
      </w:r>
      <w:r>
        <w:rPr>
          <w:rFonts w:hint="eastAsia" w:ascii="標楷體" w:hAnsi="標楷體" w:eastAsia="標楷體"/>
          <w:b/>
          <w:sz w:val="20"/>
          <w:szCs w:val="20"/>
        </w:rPr>
        <w:t>4G 398金好講優惠方案</w:t>
      </w:r>
      <w:r>
        <w:rPr>
          <w:rFonts w:hint="eastAsia" w:ascii="標楷體" w:hAnsi="標楷體" w:eastAsia="標楷體"/>
          <w:sz w:val="20"/>
          <w:szCs w:val="20"/>
        </w:rPr>
        <w:t>」選擇購機(24)(30)/單門號(24)優惠方案者，可選搭「</w:t>
      </w:r>
      <w:r>
        <w:rPr>
          <w:rFonts w:hint="eastAsia" w:ascii="標楷體" w:hAnsi="標楷體" w:eastAsia="標楷體"/>
          <w:b/>
          <w:sz w:val="20"/>
          <w:szCs w:val="20"/>
        </w:rPr>
        <w:t>精采Hami包</w:t>
      </w:r>
      <w:r>
        <w:rPr>
          <w:rFonts w:hint="eastAsia" w:ascii="標楷體" w:hAnsi="標楷體" w:eastAsia="標楷體"/>
          <w:sz w:val="20"/>
          <w:szCs w:val="20"/>
        </w:rPr>
        <w:t>」加值服務，並依所選月繳方案及優惠享加值服務月租費優惠價，合約期間須於選定之月繳方案規定月租費外，另依所選方案加計每項加購之加值優惠月租費(連續24/30個月，視所參加之方案租期而定)。有關加值服務項目、適用優惠方案、每項加購之優惠月租費、專案優惠補貼款、優惠內容等，詳見下表及說明事項： (單位：元)</w:t>
      </w:r>
    </w:p>
    <w:tbl>
      <w:tblPr>
        <w:tblW w:w="1075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108" w:type="dxa"/>
          <w:right w:w="108" w:type="dxa"/>
        </w:tblCellMar>
      </w:tblPr>
      <w:tblGrid>
        <w:gridCol w:w="4678"/>
        <w:gridCol w:w="2253"/>
        <w:gridCol w:w="1149"/>
        <w:gridCol w:w="267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108" w:type="dxa"/>
            <w:right w:w="108" w:type="dxa"/>
          </w:tblCellMar>
        </w:tblPrEx>
        <w:trPr>
          <w:trHeight w:val="573" w:hRule="atLeast"/>
          <w:jc w:val="center"/>
        </w:trPr>
        <w:tc>
          <w:tcPr>
            <w:tcW w:w="4678" w:type="dxa"/>
            <w:shd w:val="clear" w:color="auto" w:fill="F2DBDB"/>
            <w:vAlign w:val="center"/>
          </w:tcPr>
          <w:p>
            <w:pPr>
              <w:spacing w:line="200" w:lineRule="exact"/>
              <w:ind w:left="351" w:leftChars="-59" w:right="-79" w:rightChars="-33" w:hanging="493" w:hangingChars="274"/>
              <w:jc w:val="center"/>
              <w:rPr>
                <w:rFonts w:ascii="Times New Roman" w:hAnsi="Times New Roman" w:eastAsia="標楷體" w:cs="Times New Roman"/>
                <w:kern w:val="0"/>
                <w:sz w:val="18"/>
                <w:szCs w:val="18"/>
              </w:rPr>
            </w:pPr>
            <w:r>
              <w:rPr>
                <w:rFonts w:ascii="Times New Roman" w:hAnsi="Times New Roman" w:eastAsia="標楷體" w:cs="Times New Roman"/>
                <w:kern w:val="0"/>
                <w:sz w:val="18"/>
                <w:szCs w:val="18"/>
              </w:rPr>
              <w:t>請勾選欲</w:t>
            </w:r>
            <w:r>
              <w:rPr>
                <w:rFonts w:hint="eastAsia" w:ascii="Times New Roman" w:hAnsi="Times New Roman" w:eastAsia="標楷體" w:cs="Times New Roman"/>
                <w:kern w:val="0"/>
                <w:sz w:val="18"/>
                <w:szCs w:val="18"/>
              </w:rPr>
              <w:t>加購</w:t>
            </w:r>
            <w:r>
              <w:rPr>
                <w:rFonts w:ascii="Times New Roman" w:hAnsi="Times New Roman" w:eastAsia="標楷體" w:cs="Times New Roman"/>
                <w:kern w:val="0"/>
                <w:sz w:val="18"/>
                <w:szCs w:val="18"/>
              </w:rPr>
              <w:t>之加值服務項目</w:t>
            </w:r>
            <w:r>
              <w:rPr>
                <w:rFonts w:ascii="Times New Roman" w:hAnsi="Times New Roman" w:eastAsia="標楷體" w:cs="Times New Roman"/>
                <w:bCs/>
                <w:spacing w:val="-12"/>
                <w:sz w:val="18"/>
                <w:szCs w:val="18"/>
              </w:rPr>
              <w:t>(</w:t>
            </w:r>
            <w:r>
              <w:rPr>
                <w:rFonts w:hint="eastAsia" w:ascii="Times New Roman" w:hAnsi="Times New Roman" w:eastAsia="標楷體" w:cs="Times New Roman"/>
                <w:bCs/>
                <w:spacing w:val="-12"/>
                <w:sz w:val="18"/>
                <w:szCs w:val="18"/>
              </w:rPr>
              <w:t>詳</w:t>
            </w:r>
            <w:r>
              <w:rPr>
                <w:rFonts w:ascii="Times New Roman" w:hAnsi="Times New Roman" w:eastAsia="標楷體" w:cs="Times New Roman"/>
                <w:bCs/>
                <w:spacing w:val="-12"/>
                <w:sz w:val="18"/>
                <w:szCs w:val="18"/>
              </w:rPr>
              <w:t>說明</w:t>
            </w:r>
            <w:r>
              <w:rPr>
                <w:rFonts w:hint="eastAsia" w:ascii="Times New Roman" w:hAnsi="Times New Roman" w:eastAsia="標楷體" w:cs="Times New Roman"/>
                <w:bCs/>
                <w:spacing w:val="-12"/>
                <w:sz w:val="18"/>
                <w:szCs w:val="18"/>
              </w:rPr>
              <w:t>2</w:t>
            </w:r>
            <w:r>
              <w:rPr>
                <w:rFonts w:ascii="Times New Roman" w:hAnsi="Times New Roman" w:eastAsia="標楷體" w:cs="Times New Roman"/>
                <w:bCs/>
                <w:spacing w:val="-12"/>
                <w:sz w:val="18"/>
                <w:szCs w:val="18"/>
              </w:rPr>
              <w:t>)</w:t>
            </w:r>
          </w:p>
          <w:p>
            <w:pPr>
              <w:spacing w:line="200" w:lineRule="exact"/>
              <w:ind w:left="352" w:leftChars="-59" w:right="-79" w:rightChars="-33" w:hanging="494" w:hangingChars="274"/>
              <w:jc w:val="center"/>
              <w:rPr>
                <w:rFonts w:ascii="Times New Roman" w:hAnsi="Times New Roman" w:eastAsia="標楷體" w:cs="Times New Roman"/>
                <w:kern w:val="0"/>
                <w:sz w:val="16"/>
                <w:szCs w:val="16"/>
              </w:rPr>
            </w:pPr>
            <w:r>
              <w:rPr>
                <w:rFonts w:ascii="Times New Roman" w:hAnsi="Times New Roman" w:eastAsia="標楷體" w:cs="Times New Roman"/>
                <w:b/>
                <w:color w:val="FF0000"/>
                <w:kern w:val="0"/>
                <w:sz w:val="18"/>
                <w:szCs w:val="18"/>
              </w:rPr>
              <w:t>【可多選，</w:t>
            </w:r>
            <w:r>
              <w:rPr>
                <w:rFonts w:hint="eastAsia" w:ascii="Times New Roman" w:hAnsi="Times New Roman" w:eastAsia="標楷體" w:cs="Times New Roman"/>
                <w:b/>
                <w:color w:val="FF0000"/>
                <w:kern w:val="0"/>
                <w:sz w:val="18"/>
                <w:szCs w:val="18"/>
              </w:rPr>
              <w:t>但</w:t>
            </w:r>
            <w:r>
              <w:rPr>
                <w:rFonts w:ascii="Times New Roman" w:hAnsi="Times New Roman" w:eastAsia="標楷體" w:cs="Times New Roman"/>
                <w:b/>
                <w:color w:val="FF0000"/>
                <w:kern w:val="0"/>
                <w:sz w:val="18"/>
                <w:szCs w:val="18"/>
              </w:rPr>
              <w:t>「來電答鈴超值包」項目</w:t>
            </w:r>
            <w:r>
              <w:rPr>
                <w:rFonts w:hint="eastAsia" w:ascii="Times New Roman" w:hAnsi="Times New Roman" w:eastAsia="標楷體" w:cs="Times New Roman"/>
                <w:b/>
                <w:color w:val="FF0000"/>
                <w:kern w:val="0"/>
                <w:sz w:val="18"/>
                <w:szCs w:val="18"/>
              </w:rPr>
              <w:t>僅限</w:t>
            </w:r>
            <w:r>
              <w:rPr>
                <w:rFonts w:ascii="Times New Roman" w:hAnsi="Times New Roman" w:eastAsia="標楷體" w:cs="Times New Roman"/>
                <w:b/>
                <w:color w:val="FF0000"/>
                <w:kern w:val="0"/>
                <w:sz w:val="18"/>
                <w:szCs w:val="18"/>
              </w:rPr>
              <w:t>三</w:t>
            </w:r>
            <w:r>
              <w:rPr>
                <w:rFonts w:hint="eastAsia" w:ascii="Times New Roman" w:hAnsi="Times New Roman" w:eastAsia="標楷體" w:cs="Times New Roman"/>
                <w:b/>
                <w:color w:val="FF0000"/>
                <w:kern w:val="0"/>
                <w:sz w:val="18"/>
                <w:szCs w:val="18"/>
              </w:rPr>
              <w:t>選</w:t>
            </w:r>
            <w:r>
              <w:rPr>
                <w:rFonts w:ascii="Times New Roman" w:hAnsi="Times New Roman" w:eastAsia="標楷體" w:cs="Times New Roman"/>
                <w:b/>
                <w:color w:val="FF0000"/>
                <w:kern w:val="0"/>
                <w:sz w:val="18"/>
                <w:szCs w:val="18"/>
              </w:rPr>
              <w:t>一】</w:t>
            </w:r>
          </w:p>
        </w:tc>
        <w:tc>
          <w:tcPr>
            <w:tcW w:w="2253" w:type="dxa"/>
            <w:vAlign w:val="center"/>
          </w:tcPr>
          <w:p>
            <w:pPr>
              <w:spacing w:line="220" w:lineRule="exact"/>
              <w:ind w:left="-120" w:leftChars="-50" w:right="-120" w:rightChars="-50"/>
              <w:jc w:val="center"/>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適用</w:t>
            </w:r>
            <w:r>
              <w:rPr>
                <w:rFonts w:ascii="Times New Roman" w:hAnsi="Times New Roman" w:eastAsia="標楷體" w:cs="Times New Roman"/>
                <w:kern w:val="0"/>
                <w:sz w:val="18"/>
                <w:szCs w:val="18"/>
              </w:rPr>
              <w:t>優惠方案</w:t>
            </w:r>
          </w:p>
        </w:tc>
        <w:tc>
          <w:tcPr>
            <w:tcW w:w="1149" w:type="dxa"/>
            <w:vAlign w:val="center"/>
          </w:tcPr>
          <w:p>
            <w:pPr>
              <w:spacing w:line="22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每項加購之</w:t>
            </w:r>
          </w:p>
          <w:p>
            <w:pPr>
              <w:spacing w:line="220" w:lineRule="exact"/>
              <w:ind w:left="-120" w:leftChars="-50" w:right="-120" w:rightChars="-50"/>
              <w:jc w:val="center"/>
              <w:rPr>
                <w:rFonts w:ascii="Times New Roman" w:hAnsi="Times New Roman" w:eastAsia="標楷體" w:cs="Times New Roman"/>
                <w:bCs/>
                <w:spacing w:val="-12"/>
                <w:sz w:val="18"/>
                <w:szCs w:val="18"/>
              </w:rPr>
            </w:pPr>
            <w:r>
              <w:rPr>
                <w:rFonts w:ascii="Times New Roman" w:hAnsi="Times New Roman" w:eastAsia="標楷體" w:cs="Times New Roman"/>
                <w:bCs/>
                <w:spacing w:val="-12"/>
                <w:sz w:val="18"/>
                <w:szCs w:val="18"/>
              </w:rPr>
              <w:t>優惠月租費</w:t>
            </w:r>
          </w:p>
        </w:tc>
        <w:tc>
          <w:tcPr>
            <w:tcW w:w="2678" w:type="dxa"/>
            <w:vAlign w:val="center"/>
          </w:tcPr>
          <w:p>
            <w:pPr>
              <w:spacing w:line="240" w:lineRule="exact"/>
              <w:ind w:left="-120" w:leftChars="-50" w:right="-120" w:rightChars="-50"/>
              <w:jc w:val="center"/>
              <w:rPr>
                <w:rFonts w:ascii="Times New Roman" w:hAnsi="Times New Roman" w:eastAsia="標楷體" w:cs="Times New Roman"/>
                <w:bCs/>
                <w:spacing w:val="-12"/>
                <w:sz w:val="18"/>
                <w:szCs w:val="18"/>
              </w:rPr>
            </w:pPr>
            <w:r>
              <w:rPr>
                <w:rFonts w:ascii="Times New Roman" w:hAnsi="Times New Roman" w:eastAsia="標楷體" w:cs="Times New Roman"/>
                <w:b/>
                <w:bCs/>
                <w:spacing w:val="-12"/>
                <w:sz w:val="18"/>
                <w:szCs w:val="18"/>
              </w:rPr>
              <w:t>加計</w:t>
            </w:r>
            <w:r>
              <w:rPr>
                <w:rFonts w:ascii="Times New Roman" w:hAnsi="Times New Roman" w:eastAsia="標楷體" w:cs="Times New Roman"/>
                <w:bCs/>
                <w:spacing w:val="-12"/>
                <w:sz w:val="18"/>
                <w:szCs w:val="18"/>
              </w:rPr>
              <w:t>專案優惠補貼款</w:t>
            </w:r>
          </w:p>
          <w:p>
            <w:pPr>
              <w:spacing w:line="240" w:lineRule="exact"/>
              <w:jc w:val="center"/>
              <w:rPr>
                <w:rFonts w:ascii="Times New Roman" w:hAnsi="Times New Roman" w:eastAsia="標楷體" w:cs="Times New Roman"/>
                <w:bCs/>
                <w:spacing w:val="-12"/>
                <w:sz w:val="18"/>
                <w:szCs w:val="18"/>
              </w:rPr>
            </w:pPr>
            <w:r>
              <w:rPr>
                <w:rFonts w:ascii="Times New Roman" w:hAnsi="Times New Roman" w:eastAsia="標楷體" w:cs="Times New Roman"/>
                <w:bCs/>
                <w:spacing w:val="-12"/>
                <w:sz w:val="18"/>
                <w:szCs w:val="18"/>
              </w:rPr>
              <w:t>(</w:t>
            </w:r>
            <w:r>
              <w:rPr>
                <w:rFonts w:hint="eastAsia" w:ascii="Times New Roman" w:hAnsi="Times New Roman" w:eastAsia="標楷體" w:cs="Times New Roman"/>
                <w:bCs/>
                <w:spacing w:val="-12"/>
                <w:sz w:val="18"/>
                <w:szCs w:val="18"/>
              </w:rPr>
              <w:t>詳</w:t>
            </w:r>
            <w:r>
              <w:rPr>
                <w:rFonts w:ascii="Times New Roman" w:hAnsi="Times New Roman" w:eastAsia="標楷體" w:cs="Times New Roman"/>
                <w:bCs/>
                <w:spacing w:val="-12"/>
                <w:sz w:val="18"/>
                <w:szCs w:val="18"/>
              </w:rPr>
              <w:t>說明1)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108" w:type="dxa"/>
            <w:right w:w="108" w:type="dxa"/>
          </w:tblCellMar>
        </w:tblPrEx>
        <w:trPr>
          <w:trHeight w:val="277" w:hRule="atLeast"/>
          <w:jc w:val="center"/>
        </w:trPr>
        <w:tc>
          <w:tcPr>
            <w:tcW w:w="4678" w:type="dxa"/>
            <w:shd w:val="clear" w:color="auto" w:fill="F2DBDB"/>
            <w:vAlign w:val="center"/>
          </w:tcPr>
          <w:p>
            <w:pPr>
              <w:spacing w:line="240" w:lineRule="exact"/>
              <w:ind w:left="349" w:leftChars="36" w:right="-79" w:rightChars="-33" w:hanging="263" w:hangingChars="146"/>
              <w:rPr>
                <w:rFonts w:ascii="Times New Roman" w:hAnsi="Times New Roman" w:eastAsia="標楷體" w:cs="Times New Roman"/>
                <w:kern w:val="0"/>
                <w:sz w:val="18"/>
                <w:szCs w:val="18"/>
              </w:rPr>
            </w:pPr>
            <w:r>
              <w:rPr>
                <w:rFonts w:ascii="Times New Roman" w:hAnsi="Times New Roman" w:eastAsia="標楷體" w:cs="Times New Roman"/>
                <w:kern w:val="0"/>
                <w:sz w:val="18"/>
                <w:szCs w:val="18"/>
              </w:rPr>
              <w:sym w:font="標楷體" w:char="F0A3"/>
            </w:r>
            <w:r>
              <w:rPr>
                <w:rFonts w:hint="eastAsia" w:ascii="Times New Roman" w:hAnsi="Times New Roman" w:eastAsia="新細明體" w:cs="Times New Roman"/>
                <w:szCs w:val="24"/>
              </w:rPr>
              <w:t xml:space="preserve"> </w:t>
            </w:r>
            <w:r>
              <w:rPr>
                <w:rFonts w:hint="eastAsia" w:ascii="標楷體" w:hAnsi="標楷體" w:eastAsia="標楷體"/>
                <w:kern w:val="0"/>
                <w:sz w:val="17"/>
                <w:szCs w:val="17"/>
              </w:rPr>
              <w:t>Hami Video 電視</w:t>
            </w:r>
            <w:r>
              <w:rPr>
                <w:rFonts w:hint="eastAsia" w:ascii="標楷體" w:hAnsi="標楷體" w:eastAsia="標楷體"/>
                <w:bCs/>
                <w:spacing w:val="-14"/>
                <w:sz w:val="16"/>
                <w:szCs w:val="17"/>
                <w:lang/>
              </w:rPr>
              <w:t>館</w:t>
            </w:r>
            <w:r>
              <w:rPr>
                <w:rFonts w:hint="eastAsia" w:ascii="標楷體" w:hAnsi="標楷體" w:eastAsia="標楷體"/>
                <w:kern w:val="0"/>
                <w:sz w:val="17"/>
                <w:szCs w:val="17"/>
              </w:rPr>
              <w:t xml:space="preserve"> </w:t>
            </w:r>
            <w:r>
              <w:rPr>
                <w:rFonts w:ascii="標楷體" w:hAnsi="標楷體" w:eastAsia="標楷體"/>
                <w:kern w:val="0"/>
                <w:sz w:val="17"/>
                <w:szCs w:val="17"/>
              </w:rPr>
              <w:t>(原價168元/月)</w:t>
            </w:r>
          </w:p>
        </w:tc>
        <w:tc>
          <w:tcPr>
            <w:tcW w:w="2253" w:type="dxa"/>
            <w:vMerge w:val="restart"/>
            <w:vAlign w:val="center"/>
          </w:tcPr>
          <w:p>
            <w:pPr>
              <w:spacing w:line="240" w:lineRule="exact"/>
              <w:ind w:right="-120" w:rightChars="-50"/>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單門號方案：24個月</w:t>
            </w:r>
          </w:p>
          <w:p>
            <w:pPr>
              <w:spacing w:line="240" w:lineRule="exact"/>
              <w:ind w:right="-120" w:rightChars="-50"/>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購機方案：</w:t>
            </w:r>
            <w:r>
              <w:rPr>
                <w:rFonts w:hint="eastAsia" w:ascii="Times New Roman" w:hAnsi="Times New Roman" w:eastAsia="標楷體" w:cs="Times New Roman"/>
                <w:spacing w:val="-6"/>
                <w:kern w:val="0"/>
                <w:sz w:val="18"/>
                <w:szCs w:val="18"/>
              </w:rPr>
              <w:t>24/30</w:t>
            </w:r>
            <w:r>
              <w:rPr>
                <w:rFonts w:hint="eastAsia" w:ascii="Times New Roman" w:hAnsi="Times New Roman" w:eastAsia="標楷體" w:cs="Times New Roman"/>
                <w:kern w:val="0"/>
                <w:sz w:val="18"/>
                <w:szCs w:val="18"/>
              </w:rPr>
              <w:t>個月</w:t>
            </w:r>
          </w:p>
        </w:tc>
        <w:tc>
          <w:tcPr>
            <w:tcW w:w="1149" w:type="dxa"/>
            <w:vMerge w:val="restart"/>
            <w:vAlign w:val="center"/>
          </w:tcPr>
          <w:p>
            <w:pPr>
              <w:spacing w:line="240" w:lineRule="exact"/>
              <w:ind w:left="-120" w:leftChars="-50" w:right="-120" w:rightChars="-50"/>
              <w:jc w:val="center"/>
              <w:rPr>
                <w:rFonts w:ascii="Times New Roman" w:hAnsi="Times New Roman" w:eastAsia="標楷體" w:cs="Times New Roman"/>
                <w:bCs/>
                <w:spacing w:val="-12"/>
                <w:sz w:val="18"/>
                <w:szCs w:val="18"/>
              </w:rPr>
            </w:pPr>
            <w:r>
              <w:rPr>
                <w:rFonts w:hint="eastAsia" w:ascii="Times New Roman" w:hAnsi="Times New Roman" w:eastAsia="標楷體" w:cs="Times New Roman"/>
                <w:bCs/>
                <w:spacing w:val="-12"/>
                <w:sz w:val="18"/>
                <w:szCs w:val="18"/>
              </w:rPr>
              <w:t>99元/月</w:t>
            </w:r>
          </w:p>
        </w:tc>
        <w:tc>
          <w:tcPr>
            <w:tcW w:w="2678" w:type="dxa"/>
            <w:vMerge w:val="restart"/>
            <w:vAlign w:val="center"/>
          </w:tcPr>
          <w:p>
            <w:pPr>
              <w:spacing w:line="200" w:lineRule="exact"/>
              <w:ind w:left="-96" w:leftChars="-40" w:right="-96" w:rightChars="-40"/>
              <w:jc w:val="center"/>
              <w:rPr>
                <w:rFonts w:ascii="Times New Roman" w:hAnsi="Times New Roman" w:eastAsia="標楷體" w:cs="Times New Roman"/>
                <w:kern w:val="0"/>
                <w:sz w:val="16"/>
                <w:szCs w:val="16"/>
              </w:rPr>
            </w:pPr>
            <w:r>
              <w:rPr>
                <w:rFonts w:ascii="Times New Roman" w:hAnsi="Times New Roman" w:eastAsia="標楷體" w:cs="Times New Roman"/>
                <w:kern w:val="0"/>
                <w:sz w:val="16"/>
                <w:szCs w:val="16"/>
              </w:rPr>
              <w:t>依實際已享加值月租費優惠金額</w:t>
            </w:r>
          </w:p>
          <w:p>
            <w:pPr>
              <w:spacing w:line="200" w:lineRule="exact"/>
              <w:ind w:left="-96" w:leftChars="-40" w:right="-96" w:rightChars="-40"/>
              <w:jc w:val="center"/>
              <w:rPr>
                <w:rFonts w:ascii="Times New Roman" w:hAnsi="Times New Roman" w:eastAsia="標楷體" w:cs="Times New Roman"/>
                <w:kern w:val="0"/>
                <w:sz w:val="16"/>
                <w:szCs w:val="16"/>
              </w:rPr>
            </w:pPr>
            <w:r>
              <w:rPr>
                <w:rFonts w:ascii="Times New Roman" w:hAnsi="Times New Roman" w:eastAsia="標楷體" w:cs="Times New Roman"/>
                <w:kern w:val="0"/>
                <w:sz w:val="16"/>
                <w:szCs w:val="16"/>
              </w:rPr>
              <w:t>(每項原價-</w:t>
            </w:r>
            <w:r>
              <w:rPr>
                <w:rFonts w:hint="eastAsia" w:ascii="Times New Roman" w:hAnsi="Times New Roman" w:eastAsia="標楷體" w:cs="Times New Roman"/>
                <w:color w:val="FF0000"/>
                <w:kern w:val="0"/>
                <w:sz w:val="16"/>
                <w:szCs w:val="16"/>
              </w:rPr>
              <w:t>優惠價</w:t>
            </w:r>
            <w:r>
              <w:rPr>
                <w:rFonts w:ascii="Times New Roman" w:hAnsi="Times New Roman" w:eastAsia="標楷體" w:cs="Times New Roman"/>
                <w:kern w:val="0"/>
                <w:sz w:val="16"/>
                <w:szCs w:val="16"/>
              </w:rPr>
              <w:t>/項)</w:t>
            </w:r>
          </w:p>
          <w:p>
            <w:pPr>
              <w:spacing w:line="200" w:lineRule="exact"/>
              <w:ind w:left="-96" w:leftChars="-40" w:right="-96" w:rightChars="-40"/>
              <w:jc w:val="center"/>
              <w:rPr>
                <w:rFonts w:ascii="Times New Roman" w:hAnsi="Times New Roman" w:eastAsia="標楷體" w:cs="Times New Roman"/>
                <w:kern w:val="0"/>
                <w:sz w:val="16"/>
                <w:szCs w:val="16"/>
              </w:rPr>
            </w:pPr>
            <w:r>
              <w:rPr>
                <w:rFonts w:ascii="Times New Roman" w:hAnsi="Times New Roman" w:eastAsia="標楷體" w:cs="Times New Roman"/>
                <w:kern w:val="0"/>
                <w:sz w:val="16"/>
                <w:szCs w:val="16"/>
              </w:rPr>
              <w:t>並依未滿租期按日遞減計收</w:t>
            </w:r>
          </w:p>
          <w:p>
            <w:pPr>
              <w:spacing w:line="240" w:lineRule="exact"/>
              <w:ind w:left="-120" w:leftChars="-50" w:right="-120" w:rightChars="-50"/>
              <w:jc w:val="center"/>
              <w:rPr>
                <w:rFonts w:ascii="Times New Roman" w:hAnsi="Times New Roman" w:eastAsia="標楷體" w:cs="Times New Roman"/>
                <w:kern w:val="0"/>
                <w:sz w:val="16"/>
                <w:szCs w:val="16"/>
              </w:rPr>
            </w:pPr>
            <w:r>
              <w:rPr>
                <w:rFonts w:ascii="Times New Roman" w:hAnsi="Times New Roman" w:eastAsia="標楷體" w:cs="Times New Roman"/>
                <w:b/>
                <w:color w:val="FF0000"/>
                <w:spacing w:val="-10"/>
                <w:kern w:val="0"/>
                <w:sz w:val="16"/>
                <w:szCs w:val="16"/>
              </w:rPr>
              <w:t>*按所選加值「項目數」加計補貼款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108" w:type="dxa"/>
            <w:right w:w="108" w:type="dxa"/>
          </w:tblCellMar>
        </w:tblPrEx>
        <w:trPr>
          <w:trHeight w:val="277" w:hRule="atLeast"/>
          <w:jc w:val="center"/>
        </w:trPr>
        <w:tc>
          <w:tcPr>
            <w:tcW w:w="4678" w:type="dxa"/>
            <w:shd w:val="clear" w:color="auto" w:fill="F2DBDB"/>
            <w:vAlign w:val="center"/>
          </w:tcPr>
          <w:p>
            <w:pPr>
              <w:spacing w:line="240" w:lineRule="exact"/>
              <w:ind w:left="334" w:leftChars="36" w:right="-79" w:rightChars="-33" w:hanging="248" w:hangingChars="146"/>
              <w:rPr>
                <w:rFonts w:ascii="Times New Roman" w:hAnsi="Times New Roman" w:eastAsia="標楷體" w:cs="Times New Roman"/>
                <w:kern w:val="0"/>
                <w:sz w:val="18"/>
                <w:szCs w:val="18"/>
              </w:rPr>
            </w:pPr>
            <w:r>
              <w:rPr>
                <w:rFonts w:ascii="標楷體" w:hAnsi="標楷體" w:eastAsia="標楷體"/>
                <w:kern w:val="0"/>
                <w:sz w:val="17"/>
                <w:szCs w:val="17"/>
              </w:rPr>
              <w:sym w:font="標楷體" w:char="F0A3"/>
            </w:r>
            <w:r>
              <w:rPr>
                <w:rFonts w:hint="eastAsia" w:ascii="標楷體" w:hAnsi="標楷體" w:eastAsia="標楷體"/>
                <w:kern w:val="0"/>
                <w:sz w:val="17"/>
                <w:szCs w:val="17"/>
              </w:rPr>
              <w:t xml:space="preserve"> Hami書城月讀包</w:t>
            </w:r>
            <w:r>
              <w:rPr>
                <w:rFonts w:ascii="標楷體" w:hAnsi="標楷體" w:eastAsia="標楷體"/>
                <w:kern w:val="0"/>
                <w:sz w:val="17"/>
                <w:szCs w:val="17"/>
              </w:rPr>
              <w:t>(原價149元/月)</w:t>
            </w:r>
          </w:p>
        </w:tc>
        <w:tc>
          <w:tcPr>
            <w:tcW w:w="2253" w:type="dxa"/>
            <w:vMerge w:val="continue"/>
            <w:vAlign w:val="center"/>
          </w:tcPr>
          <w:p>
            <w:pPr>
              <w:spacing w:line="240" w:lineRule="exact"/>
              <w:ind w:right="-120" w:rightChars="-50"/>
              <w:rPr>
                <w:rFonts w:ascii="Times New Roman" w:hAnsi="Times New Roman" w:eastAsia="標楷體" w:cs="Times New Roman"/>
                <w:kern w:val="0"/>
                <w:sz w:val="18"/>
                <w:szCs w:val="18"/>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8"/>
                <w:szCs w:val="18"/>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108" w:type="dxa"/>
            <w:right w:w="108" w:type="dxa"/>
          </w:tblCellMar>
        </w:tblPrEx>
        <w:trPr>
          <w:trHeight w:val="277" w:hRule="atLeast"/>
          <w:jc w:val="center"/>
        </w:trPr>
        <w:tc>
          <w:tcPr>
            <w:tcW w:w="4678" w:type="dxa"/>
            <w:shd w:val="clear" w:color="auto" w:fill="F2DBDB"/>
            <w:vAlign w:val="center"/>
          </w:tcPr>
          <w:p>
            <w:pPr>
              <w:spacing w:line="240" w:lineRule="exact"/>
              <w:ind w:left="349" w:leftChars="36" w:right="-79" w:rightChars="-33" w:hanging="263" w:hangingChars="146"/>
              <w:rPr>
                <w:rFonts w:ascii="標楷體" w:hAnsi="標楷體" w:eastAsia="標楷體"/>
                <w:kern w:val="0"/>
                <w:sz w:val="17"/>
                <w:szCs w:val="17"/>
              </w:rPr>
            </w:pPr>
            <w:r>
              <w:rPr>
                <w:rFonts w:ascii="Times New Roman" w:hAnsi="Times New Roman" w:eastAsia="標楷體" w:cs="Times New Roman"/>
                <w:kern w:val="0"/>
                <w:sz w:val="18"/>
                <w:szCs w:val="18"/>
              </w:rPr>
              <w:sym w:font="標楷體" w:char="F0A3"/>
            </w:r>
            <w:r>
              <w:rPr>
                <w:rFonts w:hint="eastAsia" w:ascii="Times New Roman" w:hAnsi="Times New Roman" w:eastAsia="標楷體" w:cs="Times New Roman"/>
                <w:kern w:val="0"/>
                <w:sz w:val="18"/>
                <w:szCs w:val="18"/>
              </w:rPr>
              <w:t xml:space="preserve"> </w:t>
            </w:r>
            <w:r>
              <w:rPr>
                <w:rFonts w:ascii="Times New Roman" w:hAnsi="Times New Roman" w:eastAsia="標楷體" w:cs="Times New Roman"/>
                <w:kern w:val="0"/>
                <w:sz w:val="18"/>
                <w:szCs w:val="18"/>
              </w:rPr>
              <w:t>Hami Pass</w:t>
            </w:r>
            <w:r>
              <w:rPr>
                <w:rFonts w:ascii="Times New Roman" w:hAnsi="Times New Roman" w:eastAsia="標楷體" w:cs="Times New Roman"/>
                <w:kern w:val="0"/>
                <w:sz w:val="16"/>
                <w:szCs w:val="16"/>
              </w:rPr>
              <w:t>(原價150元/月)</w:t>
            </w:r>
          </w:p>
        </w:tc>
        <w:tc>
          <w:tcPr>
            <w:tcW w:w="2253" w:type="dxa"/>
            <w:vMerge w:val="continue"/>
            <w:vAlign w:val="center"/>
          </w:tcPr>
          <w:p>
            <w:pPr>
              <w:spacing w:line="240" w:lineRule="exact"/>
              <w:ind w:right="-120" w:rightChars="-50"/>
              <w:rPr>
                <w:rFonts w:ascii="Times New Roman" w:hAnsi="Times New Roman" w:eastAsia="標楷體" w:cs="Times New Roman"/>
                <w:kern w:val="0"/>
                <w:sz w:val="18"/>
                <w:szCs w:val="18"/>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8"/>
                <w:szCs w:val="18"/>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108" w:type="dxa"/>
            <w:right w:w="108" w:type="dxa"/>
          </w:tblCellMar>
        </w:tblPrEx>
        <w:trPr>
          <w:trHeight w:val="277" w:hRule="atLeast"/>
          <w:jc w:val="center"/>
        </w:trPr>
        <w:tc>
          <w:tcPr>
            <w:tcW w:w="4678" w:type="dxa"/>
            <w:shd w:val="clear" w:color="auto" w:fill="F2DBDB"/>
            <w:vAlign w:val="center"/>
          </w:tcPr>
          <w:p>
            <w:pPr>
              <w:spacing w:line="240" w:lineRule="exact"/>
              <w:ind w:left="349" w:leftChars="36" w:right="-79" w:rightChars="-33" w:hanging="263" w:hangingChars="146"/>
              <w:rPr>
                <w:rFonts w:ascii="Times New Roman" w:hAnsi="Times New Roman" w:eastAsia="標楷體" w:cs="Times New Roman"/>
                <w:kern w:val="0"/>
                <w:sz w:val="18"/>
                <w:szCs w:val="18"/>
              </w:rPr>
            </w:pPr>
            <w:r>
              <w:rPr>
                <w:rFonts w:ascii="Times New Roman" w:hAnsi="Times New Roman" w:eastAsia="標楷體" w:cs="Times New Roman"/>
                <w:kern w:val="0"/>
                <w:sz w:val="18"/>
                <w:szCs w:val="18"/>
              </w:rPr>
              <w:sym w:font="標楷體" w:char="F0A3"/>
            </w:r>
            <w:r>
              <w:rPr>
                <w:rFonts w:hint="eastAsia" w:ascii="Times New Roman" w:hAnsi="Times New Roman" w:eastAsia="標楷體" w:cs="Times New Roman"/>
                <w:kern w:val="0"/>
                <w:sz w:val="18"/>
                <w:szCs w:val="18"/>
              </w:rPr>
              <w:t>童書夢工廠</w:t>
            </w:r>
            <w:r>
              <w:rPr>
                <w:rFonts w:ascii="Times New Roman" w:hAnsi="Times New Roman" w:eastAsia="標楷體" w:cs="Times New Roman"/>
                <w:kern w:val="0"/>
                <w:sz w:val="16"/>
                <w:szCs w:val="16"/>
              </w:rPr>
              <w:t>(原價149元/月)</w:t>
            </w:r>
          </w:p>
        </w:tc>
        <w:tc>
          <w:tcPr>
            <w:tcW w:w="2253" w:type="dxa"/>
            <w:vMerge w:val="continue"/>
            <w:vAlign w:val="center"/>
          </w:tcPr>
          <w:p>
            <w:pPr>
              <w:spacing w:line="240" w:lineRule="exact"/>
              <w:ind w:right="-120" w:rightChars="-50"/>
              <w:rPr>
                <w:rFonts w:ascii="Times New Roman" w:hAnsi="Times New Roman" w:eastAsia="標楷體" w:cs="Times New Roman"/>
                <w:kern w:val="0"/>
                <w:sz w:val="16"/>
                <w:szCs w:val="16"/>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8"/>
                <w:szCs w:val="18"/>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b/>
                <w:bCs/>
                <w:spacing w:val="-10"/>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108" w:type="dxa"/>
            <w:right w:w="108" w:type="dxa"/>
          </w:tblCellMar>
        </w:tblPrEx>
        <w:trPr>
          <w:trHeight w:val="277" w:hRule="atLeast"/>
          <w:jc w:val="center"/>
        </w:trPr>
        <w:tc>
          <w:tcPr>
            <w:tcW w:w="4678" w:type="dxa"/>
            <w:shd w:val="clear" w:color="auto" w:fill="F2DBDB"/>
            <w:vAlign w:val="center"/>
          </w:tcPr>
          <w:p>
            <w:pPr>
              <w:spacing w:line="240" w:lineRule="exact"/>
              <w:ind w:left="349" w:leftChars="36" w:right="-79" w:rightChars="-33" w:hanging="263" w:hangingChars="146"/>
              <w:rPr>
                <w:rFonts w:ascii="Times New Roman" w:hAnsi="Times New Roman" w:eastAsia="標楷體" w:cs="Times New Roman"/>
                <w:kern w:val="0"/>
                <w:sz w:val="18"/>
                <w:szCs w:val="18"/>
              </w:rPr>
            </w:pPr>
            <w:r>
              <w:rPr>
                <w:rFonts w:ascii="Times New Roman" w:hAnsi="Times New Roman" w:eastAsia="標楷體" w:cs="Times New Roman"/>
                <w:kern w:val="0"/>
                <w:sz w:val="18"/>
                <w:szCs w:val="18"/>
              </w:rPr>
              <w:sym w:font="標楷體" w:char="F0A3"/>
            </w:r>
            <w:r>
              <w:rPr>
                <w:rFonts w:hint="eastAsia" w:ascii="Times New Roman" w:hAnsi="Times New Roman" w:eastAsia="標楷體" w:cs="Times New Roman"/>
                <w:kern w:val="0"/>
                <w:sz w:val="18"/>
                <w:szCs w:val="18"/>
              </w:rPr>
              <w:t xml:space="preserve"> Hami Video 影劇館 (原價199元/月)</w:t>
            </w:r>
          </w:p>
        </w:tc>
        <w:tc>
          <w:tcPr>
            <w:tcW w:w="2253" w:type="dxa"/>
            <w:vMerge w:val="continue"/>
            <w:vAlign w:val="center"/>
          </w:tcPr>
          <w:p>
            <w:pPr>
              <w:spacing w:line="240" w:lineRule="exact"/>
              <w:ind w:left="-120" w:leftChars="-50" w:right="-120" w:rightChars="-50"/>
              <w:jc w:val="center"/>
              <w:rPr>
                <w:rFonts w:ascii="Times New Roman" w:hAnsi="Times New Roman" w:eastAsia="標楷體" w:cs="Times New Roman"/>
                <w:kern w:val="0"/>
                <w:sz w:val="16"/>
                <w:szCs w:val="16"/>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6"/>
                <w:szCs w:val="16"/>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108" w:type="dxa"/>
            <w:right w:w="108" w:type="dxa"/>
          </w:tblCellMar>
        </w:tblPrEx>
        <w:trPr>
          <w:trHeight w:val="277" w:hRule="atLeast"/>
          <w:jc w:val="center"/>
        </w:trPr>
        <w:tc>
          <w:tcPr>
            <w:tcW w:w="4678" w:type="dxa"/>
            <w:shd w:val="clear" w:color="auto" w:fill="F2DBDB"/>
            <w:vAlign w:val="center"/>
          </w:tcPr>
          <w:p>
            <w:pPr>
              <w:spacing w:line="240" w:lineRule="exact"/>
              <w:ind w:left="349" w:leftChars="36" w:right="-79" w:rightChars="-33" w:hanging="263" w:hangingChars="146"/>
              <w:rPr>
                <w:rFonts w:ascii="Times New Roman" w:hAnsi="Times New Roman" w:eastAsia="標楷體" w:cs="Times New Roman"/>
                <w:kern w:val="0"/>
                <w:sz w:val="18"/>
                <w:szCs w:val="18"/>
              </w:rPr>
            </w:pPr>
            <w:r>
              <w:rPr>
                <w:rFonts w:ascii="Times New Roman" w:hAnsi="Times New Roman" w:eastAsia="標楷體" w:cs="Times New Roman"/>
                <w:kern w:val="0"/>
                <w:sz w:val="18"/>
                <w:szCs w:val="18"/>
              </w:rPr>
              <w:sym w:font="標楷體" w:char="F0A3"/>
            </w:r>
            <w:r>
              <w:rPr>
                <w:rFonts w:ascii="Times New Roman" w:hAnsi="Times New Roman" w:eastAsia="新細明體" w:cs="Times New Roman"/>
                <w:szCs w:val="24"/>
              </w:rPr>
              <w:t xml:space="preserve"> </w:t>
            </w:r>
            <w:r>
              <w:rPr>
                <w:rFonts w:ascii="Times New Roman" w:hAnsi="Times New Roman" w:eastAsia="標楷體" w:cs="Times New Roman"/>
                <w:kern w:val="0"/>
                <w:sz w:val="18"/>
                <w:szCs w:val="18"/>
              </w:rPr>
              <w:t>KKBOX</w:t>
            </w:r>
            <w:r>
              <w:rPr>
                <w:rFonts w:ascii="Times New Roman" w:hAnsi="Times New Roman" w:eastAsia="標楷體" w:cs="Times New Roman"/>
                <w:kern w:val="0"/>
                <w:sz w:val="16"/>
                <w:szCs w:val="16"/>
              </w:rPr>
              <w:t>(原價149元/月)</w:t>
            </w:r>
          </w:p>
        </w:tc>
        <w:tc>
          <w:tcPr>
            <w:tcW w:w="2253" w:type="dxa"/>
            <w:vMerge w:val="continue"/>
            <w:vAlign w:val="center"/>
          </w:tcPr>
          <w:p>
            <w:pPr>
              <w:spacing w:line="240" w:lineRule="exact"/>
              <w:ind w:left="-120" w:leftChars="-50" w:right="-120" w:rightChars="-50"/>
              <w:jc w:val="center"/>
              <w:rPr>
                <w:rFonts w:ascii="Times New Roman" w:hAnsi="Times New Roman" w:eastAsia="標楷體" w:cs="Times New Roman"/>
                <w:kern w:val="0"/>
                <w:sz w:val="16"/>
                <w:szCs w:val="16"/>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6"/>
                <w:szCs w:val="16"/>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108" w:type="dxa"/>
            <w:right w:w="108" w:type="dxa"/>
          </w:tblCellMar>
        </w:tblPrEx>
        <w:trPr>
          <w:trHeight w:val="277" w:hRule="atLeast"/>
          <w:jc w:val="center"/>
        </w:trPr>
        <w:tc>
          <w:tcPr>
            <w:tcW w:w="4678" w:type="dxa"/>
            <w:shd w:val="clear" w:color="auto" w:fill="F2DBDB"/>
            <w:vAlign w:val="center"/>
          </w:tcPr>
          <w:p>
            <w:pPr>
              <w:spacing w:line="240" w:lineRule="exact"/>
              <w:ind w:left="349" w:leftChars="36" w:right="-79" w:rightChars="-33" w:hanging="263" w:hangingChars="146"/>
              <w:rPr>
                <w:rFonts w:ascii="Times New Roman" w:hAnsi="Times New Roman" w:eastAsia="標楷體" w:cs="Times New Roman"/>
                <w:kern w:val="0"/>
                <w:sz w:val="18"/>
                <w:szCs w:val="18"/>
              </w:rPr>
            </w:pPr>
            <w:r>
              <w:rPr>
                <w:rFonts w:ascii="Times New Roman" w:hAnsi="Times New Roman" w:eastAsia="標楷體" w:cs="Times New Roman"/>
                <w:kern w:val="0"/>
                <w:sz w:val="18"/>
                <w:szCs w:val="18"/>
              </w:rPr>
              <w:sym w:font="標楷體" w:char="F0A3"/>
            </w:r>
            <w:r>
              <w:rPr>
                <w:rFonts w:hint="eastAsia" w:ascii="Times New Roman" w:hAnsi="Times New Roman" w:eastAsia="新細明體" w:cs="Times New Roman"/>
                <w:szCs w:val="24"/>
              </w:rPr>
              <w:t xml:space="preserve"> </w:t>
            </w:r>
            <w:r>
              <w:rPr>
                <w:rFonts w:hint="eastAsia" w:ascii="Times New Roman" w:hAnsi="Times New Roman" w:eastAsia="標楷體" w:cs="Times New Roman"/>
                <w:kern w:val="0"/>
                <w:sz w:val="18"/>
                <w:szCs w:val="18"/>
              </w:rPr>
              <w:t>i聽聽</w:t>
            </w:r>
            <w:r>
              <w:rPr>
                <w:rFonts w:ascii="Times New Roman" w:hAnsi="Times New Roman" w:eastAsia="標楷體" w:cs="Times New Roman"/>
                <w:kern w:val="0"/>
                <w:sz w:val="16"/>
                <w:szCs w:val="16"/>
              </w:rPr>
              <w:t>(原價149元/月)</w:t>
            </w:r>
          </w:p>
        </w:tc>
        <w:tc>
          <w:tcPr>
            <w:tcW w:w="2253" w:type="dxa"/>
            <w:vMerge w:val="continue"/>
            <w:vAlign w:val="center"/>
          </w:tcPr>
          <w:p>
            <w:pPr>
              <w:spacing w:line="240" w:lineRule="exact"/>
              <w:ind w:left="-120" w:leftChars="-50" w:right="-120" w:rightChars="-50"/>
              <w:jc w:val="center"/>
              <w:rPr>
                <w:rFonts w:ascii="Times New Roman" w:hAnsi="Times New Roman" w:eastAsia="標楷體" w:cs="Times New Roman"/>
                <w:kern w:val="0"/>
                <w:sz w:val="16"/>
                <w:szCs w:val="16"/>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6"/>
                <w:szCs w:val="16"/>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108" w:type="dxa"/>
            <w:right w:w="108" w:type="dxa"/>
          </w:tblCellMar>
        </w:tblPrEx>
        <w:trPr>
          <w:trHeight w:val="277" w:hRule="atLeast"/>
          <w:jc w:val="center"/>
        </w:trPr>
        <w:tc>
          <w:tcPr>
            <w:tcW w:w="4678" w:type="dxa"/>
            <w:shd w:val="clear" w:color="auto" w:fill="F2DBDB"/>
            <w:vAlign w:val="center"/>
          </w:tcPr>
          <w:p>
            <w:pPr>
              <w:spacing w:line="240" w:lineRule="exact"/>
              <w:ind w:left="349" w:leftChars="36" w:right="-79" w:rightChars="-33" w:hanging="263" w:hangingChars="146"/>
              <w:rPr>
                <w:rFonts w:ascii="Times New Roman" w:hAnsi="Times New Roman" w:eastAsia="標楷體" w:cs="Times New Roman"/>
                <w:kern w:val="0"/>
                <w:sz w:val="18"/>
                <w:szCs w:val="18"/>
              </w:rPr>
            </w:pPr>
            <w:r>
              <w:rPr>
                <w:rFonts w:ascii="Times New Roman" w:hAnsi="Times New Roman" w:eastAsia="標楷體" w:cs="Times New Roman"/>
                <w:kern w:val="0"/>
                <w:sz w:val="18"/>
                <w:szCs w:val="18"/>
              </w:rPr>
              <w:sym w:font="標楷體" w:char="F0A3"/>
            </w:r>
            <w:r>
              <w:rPr>
                <w:rFonts w:hint="eastAsia" w:ascii="Times New Roman" w:hAnsi="Times New Roman" w:eastAsia="標楷體" w:cs="Times New Roman"/>
                <w:kern w:val="0"/>
                <w:sz w:val="18"/>
                <w:szCs w:val="18"/>
              </w:rPr>
              <w:t>至尊股票機</w:t>
            </w:r>
            <w:r>
              <w:rPr>
                <w:rFonts w:ascii="Times New Roman" w:hAnsi="Times New Roman" w:eastAsia="標楷體" w:cs="Times New Roman"/>
                <w:kern w:val="0"/>
                <w:sz w:val="16"/>
                <w:szCs w:val="16"/>
              </w:rPr>
              <w:t>(原價160元/月)</w:t>
            </w:r>
          </w:p>
        </w:tc>
        <w:tc>
          <w:tcPr>
            <w:tcW w:w="2253" w:type="dxa"/>
            <w:vMerge w:val="continue"/>
            <w:vAlign w:val="center"/>
          </w:tcPr>
          <w:p>
            <w:pPr>
              <w:spacing w:line="240" w:lineRule="exact"/>
              <w:ind w:left="-120" w:leftChars="-50" w:right="-120" w:rightChars="-50"/>
              <w:jc w:val="center"/>
              <w:rPr>
                <w:rFonts w:ascii="Times New Roman" w:hAnsi="Times New Roman" w:eastAsia="標楷體" w:cs="Times New Roman"/>
                <w:kern w:val="0"/>
                <w:sz w:val="16"/>
                <w:szCs w:val="16"/>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6"/>
                <w:szCs w:val="16"/>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108" w:type="dxa"/>
            <w:right w:w="108" w:type="dxa"/>
          </w:tblCellMar>
        </w:tblPrEx>
        <w:trPr>
          <w:trHeight w:val="277" w:hRule="atLeast"/>
          <w:jc w:val="center"/>
        </w:trPr>
        <w:tc>
          <w:tcPr>
            <w:tcW w:w="4678" w:type="dxa"/>
            <w:shd w:val="clear" w:color="auto" w:fill="F2DBDB"/>
            <w:vAlign w:val="center"/>
          </w:tcPr>
          <w:p>
            <w:pPr>
              <w:spacing w:beforeLines="10" w:line="180" w:lineRule="exact"/>
              <w:ind w:left="-31" w:leftChars="-13" w:right="34" w:rightChars="14" w:firstLine="117" w:firstLineChars="65"/>
              <w:jc w:val="both"/>
              <w:rPr>
                <w:rFonts w:ascii="Times New Roman" w:hAnsi="Times New Roman" w:eastAsia="標楷體" w:cs="Times New Roman"/>
                <w:kern w:val="0"/>
                <w:sz w:val="16"/>
                <w:szCs w:val="16"/>
              </w:rPr>
            </w:pPr>
            <w:r>
              <w:rPr>
                <w:rFonts w:ascii="Times New Roman" w:hAnsi="Times New Roman" w:eastAsia="標楷體" w:cs="Times New Roman"/>
                <w:kern w:val="0"/>
                <w:sz w:val="18"/>
                <w:szCs w:val="18"/>
              </w:rPr>
              <w:sym w:font="標楷體" w:char="F0A3"/>
            </w:r>
            <w:r>
              <w:rPr>
                <w:rFonts w:hint="eastAsia" w:ascii="Times New Roman" w:hAnsi="Times New Roman" w:eastAsia="標楷體" w:cs="Times New Roman"/>
                <w:kern w:val="0"/>
                <w:sz w:val="18"/>
                <w:szCs w:val="18"/>
              </w:rPr>
              <w:t>來電答鈴超值包+Hami鈴聲館</w:t>
            </w:r>
            <w:r>
              <w:rPr>
                <w:rFonts w:ascii="Times New Roman" w:hAnsi="Times New Roman" w:eastAsia="標楷體" w:cs="Times New Roman"/>
                <w:kern w:val="0"/>
                <w:sz w:val="16"/>
                <w:szCs w:val="16"/>
              </w:rPr>
              <w:t>(原價170元/月)</w:t>
            </w:r>
          </w:p>
        </w:tc>
        <w:tc>
          <w:tcPr>
            <w:tcW w:w="2253" w:type="dxa"/>
            <w:vMerge w:val="continue"/>
            <w:vAlign w:val="center"/>
          </w:tcPr>
          <w:p>
            <w:pPr>
              <w:spacing w:line="240" w:lineRule="exact"/>
              <w:ind w:left="-120" w:leftChars="-50" w:right="-120" w:rightChars="-50"/>
              <w:jc w:val="center"/>
              <w:rPr>
                <w:rFonts w:ascii="Times New Roman" w:hAnsi="Times New Roman" w:eastAsia="標楷體" w:cs="Times New Roman"/>
                <w:kern w:val="0"/>
                <w:sz w:val="16"/>
                <w:szCs w:val="16"/>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6"/>
                <w:szCs w:val="16"/>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108" w:type="dxa"/>
            <w:right w:w="108" w:type="dxa"/>
          </w:tblCellMar>
        </w:tblPrEx>
        <w:trPr>
          <w:trHeight w:val="277" w:hRule="atLeast"/>
          <w:jc w:val="center"/>
        </w:trPr>
        <w:tc>
          <w:tcPr>
            <w:tcW w:w="4678" w:type="dxa"/>
            <w:shd w:val="clear" w:color="auto" w:fill="F2DBDB"/>
            <w:vAlign w:val="center"/>
          </w:tcPr>
          <w:p>
            <w:pPr>
              <w:spacing w:line="240" w:lineRule="exact"/>
              <w:ind w:left="349" w:leftChars="36" w:right="-79" w:rightChars="-33" w:hanging="263" w:hangingChars="146"/>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sym w:font="標楷體" w:char="F0A3"/>
            </w:r>
            <w:r>
              <w:rPr>
                <w:rFonts w:hint="eastAsia" w:ascii="Times New Roman" w:hAnsi="Times New Roman" w:eastAsia="標楷體" w:cs="Times New Roman"/>
                <w:kern w:val="0"/>
                <w:sz w:val="18"/>
                <w:szCs w:val="18"/>
              </w:rPr>
              <w:t>來電答鈴超值包+色情守門員(行動版)</w:t>
            </w:r>
            <w:r>
              <w:rPr>
                <w:rFonts w:ascii="Times New Roman" w:hAnsi="Times New Roman" w:eastAsia="標楷體" w:cs="Times New Roman"/>
                <w:kern w:val="0"/>
                <w:sz w:val="16"/>
                <w:szCs w:val="16"/>
              </w:rPr>
              <w:t xml:space="preserve"> (原價130元/月)</w:t>
            </w:r>
          </w:p>
        </w:tc>
        <w:tc>
          <w:tcPr>
            <w:tcW w:w="2253" w:type="dxa"/>
            <w:vMerge w:val="continue"/>
            <w:vAlign w:val="center"/>
          </w:tcPr>
          <w:p>
            <w:pPr>
              <w:spacing w:line="240" w:lineRule="exact"/>
              <w:ind w:left="-120" w:leftChars="-50" w:right="-120" w:rightChars="-50"/>
              <w:jc w:val="center"/>
              <w:rPr>
                <w:rFonts w:ascii="Times New Roman" w:hAnsi="Times New Roman" w:eastAsia="標楷體" w:cs="Times New Roman"/>
                <w:kern w:val="0"/>
                <w:sz w:val="16"/>
                <w:szCs w:val="16"/>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6"/>
                <w:szCs w:val="16"/>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b/>
                <w:bCs/>
                <w:spacing w:val="-12"/>
                <w:sz w:val="16"/>
                <w:szCs w:val="1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108" w:type="dxa"/>
            <w:right w:w="108" w:type="dxa"/>
          </w:tblCellMar>
        </w:tblPrEx>
        <w:trPr>
          <w:trHeight w:val="277" w:hRule="atLeast"/>
          <w:jc w:val="center"/>
        </w:trPr>
        <w:tc>
          <w:tcPr>
            <w:tcW w:w="4678" w:type="dxa"/>
            <w:shd w:val="clear" w:color="auto" w:fill="F2DBDB"/>
            <w:vAlign w:val="center"/>
          </w:tcPr>
          <w:p>
            <w:pPr>
              <w:spacing w:line="240" w:lineRule="exact"/>
              <w:ind w:left="349" w:leftChars="36" w:right="-79" w:rightChars="-33" w:hanging="263" w:hangingChars="146"/>
              <w:rPr>
                <w:rFonts w:ascii="Times New Roman" w:hAnsi="Times New Roman" w:eastAsia="標楷體" w:cs="Times New Roman"/>
                <w:kern w:val="0"/>
                <w:sz w:val="16"/>
                <w:szCs w:val="16"/>
              </w:rPr>
            </w:pPr>
            <w:r>
              <w:rPr>
                <w:rFonts w:ascii="Times New Roman" w:hAnsi="Times New Roman" w:eastAsia="標楷體" w:cs="Times New Roman"/>
                <w:kern w:val="0"/>
                <w:sz w:val="18"/>
                <w:szCs w:val="18"/>
              </w:rPr>
              <w:sym w:font="標楷體" w:char="F0A3"/>
            </w:r>
            <w:r>
              <w:rPr>
                <w:rFonts w:hint="eastAsia" w:ascii="Times New Roman" w:hAnsi="Times New Roman" w:eastAsia="標楷體" w:cs="Times New Roman"/>
                <w:kern w:val="0"/>
                <w:sz w:val="18"/>
                <w:szCs w:val="18"/>
              </w:rPr>
              <w:t>來電答鈴超值包+CHT Wi-Fi</w:t>
            </w:r>
            <w:r>
              <w:rPr>
                <w:rFonts w:ascii="Times New Roman" w:hAnsi="Times New Roman" w:eastAsia="標楷體" w:cs="Times New Roman"/>
                <w:kern w:val="0"/>
                <w:sz w:val="16"/>
                <w:szCs w:val="16"/>
              </w:rPr>
              <w:t>(原價169元/月)</w:t>
            </w:r>
          </w:p>
        </w:tc>
        <w:tc>
          <w:tcPr>
            <w:tcW w:w="2253" w:type="dxa"/>
            <w:vMerge w:val="continue"/>
            <w:vAlign w:val="center"/>
          </w:tcPr>
          <w:p>
            <w:pPr>
              <w:spacing w:line="240" w:lineRule="exact"/>
              <w:ind w:left="-120" w:leftChars="-50" w:right="-120" w:rightChars="-50"/>
              <w:jc w:val="center"/>
              <w:rPr>
                <w:rFonts w:ascii="Times New Roman" w:hAnsi="Times New Roman" w:eastAsia="標楷體" w:cs="Times New Roman"/>
                <w:kern w:val="0"/>
                <w:sz w:val="16"/>
                <w:szCs w:val="16"/>
              </w:rPr>
            </w:pPr>
          </w:p>
        </w:tc>
        <w:tc>
          <w:tcPr>
            <w:tcW w:w="1149" w:type="dxa"/>
            <w:vMerge w:val="continue"/>
            <w:vAlign w:val="center"/>
          </w:tcPr>
          <w:p>
            <w:pPr>
              <w:spacing w:line="240" w:lineRule="exact"/>
              <w:ind w:left="-120" w:leftChars="-50" w:right="-120" w:rightChars="-50"/>
              <w:jc w:val="center"/>
              <w:rPr>
                <w:rFonts w:ascii="Times New Roman" w:hAnsi="Times New Roman" w:eastAsia="標楷體" w:cs="Times New Roman"/>
                <w:bCs/>
                <w:spacing w:val="-12"/>
                <w:sz w:val="16"/>
                <w:szCs w:val="16"/>
              </w:rPr>
            </w:pPr>
          </w:p>
        </w:tc>
        <w:tc>
          <w:tcPr>
            <w:tcW w:w="2678" w:type="dxa"/>
            <w:vMerge w:val="continue"/>
            <w:vAlign w:val="center"/>
          </w:tcPr>
          <w:p>
            <w:pPr>
              <w:spacing w:line="240" w:lineRule="exact"/>
              <w:ind w:left="-120" w:leftChars="-50" w:right="-120" w:rightChars="-50"/>
              <w:jc w:val="center"/>
              <w:rPr>
                <w:rFonts w:ascii="Times New Roman" w:hAnsi="Times New Roman" w:eastAsia="標楷體" w:cs="Times New Roman"/>
                <w:b/>
                <w:bCs/>
                <w:spacing w:val="-12"/>
                <w:sz w:val="16"/>
                <w:szCs w:val="16"/>
              </w:rPr>
            </w:pPr>
          </w:p>
        </w:tc>
      </w:tr>
    </w:tbl>
    <w:p>
      <w:pPr>
        <w:tabs>
          <w:tab w:val="left" w:pos="10490"/>
        </w:tabs>
        <w:snapToGrid w:val="0"/>
        <w:spacing w:beforeLines="50" w:afterLines="10" w:line="220" w:lineRule="exact"/>
        <w:ind w:left="790" w:leftChars="6" w:hanging="776" w:hangingChars="431"/>
        <w:jc w:val="both"/>
        <w:rPr>
          <w:rFonts w:ascii="Times New Roman" w:hAnsi="Times New Roman" w:eastAsia="標楷體" w:cs="Times New Roman"/>
          <w:kern w:val="0"/>
          <w:sz w:val="18"/>
          <w:szCs w:val="18"/>
        </w:rPr>
      </w:pPr>
      <w:r>
        <w:rPr>
          <w:rFonts w:ascii="Times New Roman" w:hAnsi="Times New Roman" w:eastAsia="標楷體" w:cs="Times New Roman"/>
          <w:kern w:val="0"/>
          <w:sz w:val="18"/>
          <w:szCs w:val="18"/>
        </w:rPr>
        <w:t>說明：</w:t>
      </w:r>
    </w:p>
    <w:p>
      <w:pPr>
        <w:pStyle w:val="7"/>
        <w:numPr>
          <w:ilvl w:val="0"/>
          <w:numId w:val="3"/>
        </w:numPr>
        <w:spacing w:afterLines="10" w:line="220" w:lineRule="exact"/>
        <w:ind w:left="567" w:leftChars="0" w:hanging="327"/>
        <w:jc w:val="both"/>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未租滿最短租用期限提前解約時(包含但不限於退租、一退一租、欠拆、調降資費至所選方案費率限制以下、轉預付卡、提前取消加值服務等)，應依所選方案</w:t>
      </w:r>
      <w:r>
        <w:rPr>
          <w:rFonts w:ascii="Times New Roman" w:hAnsi="Times New Roman" w:eastAsia="標楷體" w:cs="Times New Roman"/>
          <w:kern w:val="0"/>
          <w:sz w:val="18"/>
          <w:szCs w:val="18"/>
        </w:rPr>
        <w:t>(包含</w:t>
      </w:r>
      <w:r>
        <w:rPr>
          <w:rFonts w:ascii="Times New Roman" w:hAnsi="Times New Roman" w:eastAsia="標楷體" w:cs="Times New Roman"/>
          <w:b/>
          <w:kern w:val="0"/>
          <w:sz w:val="18"/>
          <w:szCs w:val="18"/>
        </w:rPr>
        <w:t>加值服務月租費優惠</w:t>
      </w:r>
      <w:r>
        <w:rPr>
          <w:rFonts w:ascii="Times New Roman" w:hAnsi="Times New Roman" w:eastAsia="標楷體" w:cs="Times New Roman"/>
          <w:kern w:val="0"/>
          <w:sz w:val="18"/>
          <w:szCs w:val="18"/>
        </w:rPr>
        <w:t>)</w:t>
      </w:r>
      <w:r>
        <w:rPr>
          <w:rFonts w:hint="eastAsia" w:ascii="Times New Roman" w:hAnsi="Times New Roman" w:eastAsia="標楷體" w:cs="Times New Roman"/>
          <w:kern w:val="0"/>
          <w:sz w:val="18"/>
          <w:szCs w:val="18"/>
        </w:rPr>
        <w:t>以現金繳還精采Hami包專案優惠補貼款(依實際已享加值服務</w:t>
      </w:r>
      <w:r>
        <w:rPr>
          <w:rFonts w:ascii="Times New Roman" w:hAnsi="Times New Roman" w:eastAsia="標楷體" w:cs="Times New Roman"/>
          <w:b/>
          <w:kern w:val="0"/>
          <w:sz w:val="18"/>
          <w:szCs w:val="18"/>
        </w:rPr>
        <w:t>精采Hami包</w:t>
      </w:r>
      <w:r>
        <w:rPr>
          <w:rFonts w:hint="eastAsia" w:ascii="Times New Roman" w:hAnsi="Times New Roman" w:eastAsia="標楷體" w:cs="Times New Roman"/>
          <w:b/>
          <w:kern w:val="0"/>
          <w:sz w:val="18"/>
          <w:szCs w:val="18"/>
        </w:rPr>
        <w:t>專案</w:t>
      </w:r>
      <w:r>
        <w:rPr>
          <w:rFonts w:hint="eastAsia" w:ascii="Times New Roman" w:hAnsi="Times New Roman" w:eastAsia="標楷體" w:cs="Times New Roman"/>
          <w:kern w:val="0"/>
          <w:sz w:val="18"/>
          <w:szCs w:val="18"/>
        </w:rPr>
        <w:t>優惠金額計收)不接受以刷卡或其他方式辦理，前述補貼款之計算方式：按未滿租期之日數比例計算。優惠到期後，各項服務及資費恢復當時之牌告價計收;詳細資料來源，以優惠最後一週期帳單關帳日資料為準。</w:t>
      </w:r>
    </w:p>
    <w:p>
      <w:pPr>
        <w:pStyle w:val="7"/>
        <w:numPr>
          <w:ilvl w:val="0"/>
          <w:numId w:val="3"/>
        </w:numPr>
        <w:spacing w:afterLines="10" w:line="220" w:lineRule="exact"/>
        <w:ind w:left="567" w:leftChars="0" w:hanging="327"/>
        <w:jc w:val="both"/>
        <w:rPr>
          <w:rFonts w:ascii="Times New Roman" w:hAnsi="Times New Roman" w:eastAsia="標楷體" w:cs="Times New Roman"/>
          <w:kern w:val="0"/>
          <w:sz w:val="18"/>
          <w:szCs w:val="18"/>
        </w:rPr>
      </w:pPr>
      <w:r>
        <w:rPr>
          <w:rFonts w:hint="eastAsia" w:ascii="Times New Roman" w:hAnsi="Times New Roman" w:eastAsia="標楷體" w:cs="Times New Roman"/>
          <w:b/>
          <w:kern w:val="0"/>
          <w:sz w:val="18"/>
          <w:szCs w:val="18"/>
        </w:rPr>
        <w:t>本方案優惠將自方案生效日起開始享有，每月優惠額度依當週期方案有效天數比例計算，其優惠內容不隨月繳金額調整而異動。優惠最短租期屆滿後每月得以服務月租費原價租用加值服務至申請取消本優惠終止。若於未租滿最短租用期限提前解約時，以下各項優惠將即時停止，日後原號或新號復租時，亦不恢復/遞延至優惠租期結束</w:t>
      </w:r>
      <w:r>
        <w:rPr>
          <w:rFonts w:hint="eastAsia" w:ascii="Times New Roman" w:hAnsi="Times New Roman" w:eastAsia="標楷體" w:cs="Times New Roman"/>
          <w:kern w:val="0"/>
          <w:sz w:val="18"/>
          <w:szCs w:val="18"/>
        </w:rPr>
        <w:t>：</w:t>
      </w:r>
    </w:p>
    <w:p>
      <w:pPr>
        <w:pStyle w:val="7"/>
        <w:numPr>
          <w:ilvl w:val="0"/>
          <w:numId w:val="4"/>
        </w:numPr>
        <w:spacing w:afterLines="10" w:line="220" w:lineRule="exact"/>
        <w:ind w:left="709" w:leftChars="0" w:hanging="338"/>
        <w:jc w:val="both"/>
        <w:rPr>
          <w:rFonts w:ascii="Times New Roman" w:hAnsi="Times New Roman" w:eastAsia="標楷體" w:cs="Times New Roman"/>
          <w:kern w:val="0"/>
          <w:sz w:val="18"/>
          <w:szCs w:val="18"/>
        </w:rPr>
      </w:pPr>
      <w:r>
        <w:rPr>
          <w:rFonts w:ascii="Times New Roman" w:hAnsi="Times New Roman" w:eastAsia="標楷體" w:cs="Times New Roman"/>
          <w:spacing w:val="-12"/>
          <w:sz w:val="18"/>
          <w:szCs w:val="18"/>
        </w:rPr>
        <w:t>參加本優惠可選擇搭配多項精采Hami包加值服務，</w:t>
      </w:r>
      <w:r>
        <w:rPr>
          <w:rFonts w:hint="eastAsia" w:ascii="Times New Roman" w:hAnsi="Times New Roman" w:eastAsia="標楷體" w:cs="Times New Roman"/>
          <w:spacing w:val="-12"/>
          <w:sz w:val="18"/>
          <w:szCs w:val="18"/>
        </w:rPr>
        <w:t>惟</w:t>
      </w:r>
      <w:r>
        <w:rPr>
          <w:rFonts w:ascii="Times New Roman" w:hAnsi="Times New Roman" w:eastAsia="標楷體" w:cs="Times New Roman"/>
          <w:spacing w:val="-12"/>
          <w:sz w:val="18"/>
          <w:szCs w:val="18"/>
        </w:rPr>
        <w:t>來電答鈴超值包系列優惠僅能擇一申辦、KKBOX與KKBOX Hi-Fi無損音質僅能擇一申辦。</w:t>
      </w:r>
    </w:p>
    <w:p>
      <w:pPr>
        <w:pStyle w:val="7"/>
        <w:numPr>
          <w:ilvl w:val="0"/>
          <w:numId w:val="4"/>
        </w:numPr>
        <w:spacing w:afterLines="10" w:line="220" w:lineRule="exact"/>
        <w:ind w:left="709" w:leftChars="0" w:hanging="338"/>
        <w:jc w:val="both"/>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參加本優惠已選定之任一加值服務優惠於最短租期內不得任意更換；本優惠之加值服務於優惠最短租期屆滿後，得以服務月租費原價繼續租用至申請取消本優惠為止。</w:t>
      </w:r>
    </w:p>
    <w:p>
      <w:pPr>
        <w:pStyle w:val="7"/>
        <w:numPr>
          <w:ilvl w:val="0"/>
          <w:numId w:val="4"/>
        </w:numPr>
        <w:spacing w:afterLines="10" w:line="220" w:lineRule="exact"/>
        <w:ind w:left="709" w:leftChars="0" w:hanging="338"/>
        <w:jc w:val="both"/>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租約期間內客戶申租之門號有提前解約情形(包含但不限於退租、一退一租、欠拆、調降資費至所選方案費率限制以下、轉預付卡等)，則本優惠即時停止，日後原號或新號復租，本優惠亦不恢復或遞延。</w:t>
      </w:r>
    </w:p>
    <w:p>
      <w:pPr>
        <w:pStyle w:val="7"/>
        <w:numPr>
          <w:ilvl w:val="0"/>
          <w:numId w:val="4"/>
        </w:numPr>
        <w:spacing w:afterLines="10" w:line="220" w:lineRule="exact"/>
        <w:ind w:left="709" w:leftChars="0" w:hanging="338"/>
        <w:jc w:val="both"/>
        <w:rPr>
          <w:rFonts w:ascii="Times New Roman" w:hAnsi="Times New Roman" w:eastAsia="標楷體" w:cs="Times New Roman"/>
          <w:kern w:val="0"/>
          <w:sz w:val="18"/>
          <w:szCs w:val="18"/>
        </w:rPr>
      </w:pPr>
      <w:r>
        <w:rPr>
          <w:rFonts w:ascii="Times New Roman" w:hAnsi="Times New Roman" w:eastAsia="標楷體" w:cs="Times New Roman"/>
          <w:spacing w:val="-8"/>
          <w:sz w:val="18"/>
          <w:szCs w:val="18"/>
        </w:rPr>
        <w:t>透過行動上網使用各項加值服務產生之行動上網傳輸費，依申辦之資費方案計收；客戶在國外使用加值服務時，須額外支付國際漫遊費用。</w:t>
      </w:r>
    </w:p>
    <w:p>
      <w:pPr>
        <w:pStyle w:val="7"/>
        <w:numPr>
          <w:ilvl w:val="0"/>
          <w:numId w:val="4"/>
        </w:numPr>
        <w:spacing w:afterLines="10" w:line="220" w:lineRule="exact"/>
        <w:ind w:left="709" w:leftChars="0" w:hanging="338"/>
        <w:jc w:val="both"/>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本優惠之Hami Video電視館、Hami Pass、Hami Video影劇館、KKBOX、童書夢工廠、Hami書城月讀包、Hami鈴聲館、至尊股票機、i聽聽等加值服務內容因版權限制，限於台灣境內使用</w:t>
      </w:r>
    </w:p>
    <w:p>
      <w:pPr>
        <w:pStyle w:val="7"/>
        <w:numPr>
          <w:ilvl w:val="0"/>
          <w:numId w:val="4"/>
        </w:numPr>
        <w:spacing w:afterLines="10" w:line="220" w:lineRule="exact"/>
        <w:ind w:left="709" w:leftChars="0" w:hanging="338"/>
        <w:jc w:val="both"/>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本優惠之加值服務均為連網型服務，客戶申辦服務期間，門號服務種類須開通數據服務，Hami Video電視館、Hami Video影劇館、KKBOX、i聽聽等服務需要較高行動上網用量；來電答鈴須開通語音通話服務。</w:t>
      </w:r>
    </w:p>
    <w:p>
      <w:pPr>
        <w:pStyle w:val="7"/>
        <w:numPr>
          <w:ilvl w:val="0"/>
          <w:numId w:val="4"/>
        </w:numPr>
        <w:spacing w:afterLines="10" w:line="220" w:lineRule="exact"/>
        <w:ind w:left="709" w:leftChars="0" w:hanging="338"/>
        <w:jc w:val="both"/>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Hami Video電視館、Hami Video影劇館支援電腦(PC/NB/Mac)、智慧型手機、平板電腦。用電腦觀賞需使用瀏覽器，建議搭配Chrome瀏覽器版本71以上、Firefox瀏覽器版本63以上，不建議用Microsoft IE瀏覽器。使用手機平板觀賞需下載Hami Video APP (Android設備支援Android 6.0以上；iPhone/iPad 支援 iOS 10.0以上，惟不支援JB(越獄)和Root(刷機)的手機與平板)，且尚不支援各家Smart TV、Apple TV、車用平板及各廠牌電視盒投放。Hami Video電視館部分頻道因版權限制及運動賽事期間將有調整，實際播出頻道以服務頁面呈現為主。HD頻道因畫質隨頻寬採動態調整，需較高頻寬(建議須高於10Mbps)才能呈現高畫質，建議於訊號良好及高速網路連線下使用。各頻道因授權範圍有所不同，可觀賞設備亦有不同，以服務頁面呈現為主。另Hami Video影劇館內容包含電影(單點除外)、戲劇、動漫及兒童的隨選影片，並含限制級電影，請遵守電影分級制度購買及收看。</w:t>
      </w:r>
    </w:p>
    <w:p>
      <w:pPr>
        <w:pStyle w:val="7"/>
        <w:numPr>
          <w:ilvl w:val="0"/>
          <w:numId w:val="4"/>
        </w:numPr>
        <w:spacing w:afterLines="10" w:line="220" w:lineRule="exact"/>
        <w:ind w:left="709" w:leftChars="0" w:hanging="338"/>
        <w:jc w:val="both"/>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Hami Pass所列APP軟體服務，iOS與Android終端適用之作業系統，須視各APP支援版本為主。Hami Pass包裝內APP服務使用額外功能可能產生費用，須額外支付服務費用。Hami Pass提供之軟體內容版權歸屬合作廠商所有，中華電信保有修改與終止提供服務之權利。</w:t>
      </w:r>
    </w:p>
    <w:p>
      <w:pPr>
        <w:pStyle w:val="7"/>
        <w:numPr>
          <w:ilvl w:val="0"/>
          <w:numId w:val="4"/>
        </w:numPr>
        <w:spacing w:afterLines="10" w:line="220" w:lineRule="exact"/>
        <w:ind w:left="709" w:leftChars="0" w:hanging="338"/>
        <w:jc w:val="both"/>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童書夢工廠適用於iOS 7.0(含)以上及Android 4.1(含)以上之五吋以上終端設備。</w:t>
      </w:r>
    </w:p>
    <w:p>
      <w:pPr>
        <w:pStyle w:val="7"/>
        <w:numPr>
          <w:ilvl w:val="0"/>
          <w:numId w:val="4"/>
        </w:numPr>
        <w:spacing w:afterLines="10" w:line="220" w:lineRule="exact"/>
        <w:ind w:left="709" w:leftChars="0" w:hanging="338"/>
        <w:jc w:val="both"/>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KKBOX服務適用於電腦(PC/NB/Mac)Mac OS X 10.10以上裝置、Windows XP、Windows Vista、Windows 7、Windows 8、Windows 10或行動裝置iOS 9.0以上裝置、Android 4.1以上裝置、Windows Phone 10以上裝置。KKBOX於台灣、香港、澳門、新加坡、馬來西亞、日本內都可以順利登入收聽。</w:t>
      </w:r>
    </w:p>
    <w:p>
      <w:pPr>
        <w:pStyle w:val="7"/>
        <w:numPr>
          <w:ilvl w:val="0"/>
          <w:numId w:val="4"/>
        </w:numPr>
        <w:spacing w:afterLines="10" w:line="220" w:lineRule="exact"/>
        <w:ind w:left="709" w:leftChars="0" w:hanging="338"/>
        <w:jc w:val="both"/>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來電答鈴超值包+Hami鈴聲館申租期間不得單獨取消「來電答鈴基本型」、「答鈴音樂盒」及「Hami鈴聲館」任一服務。答鈴音樂盒每月將會依該類別的歌曲型態，自動更新5首答鈴，恕無法選擇歌曲內容，申租滿3個月後方可進線客服申請異動音樂盒類別。來電答鈴超值包於最短租期內另贈送免費下載五次答鈴歌曲，可透過手機直撥700語音下載，或上emome來電答鈴網頁、Hami來電答鈴手機網頁或APP下載。Hami鈴聲館適用於iOS 5.0(含)以上、Android 2.2(含)以上作業系統終端，另提供APP及電腦頁面下載鈴聲，本服務每月可下載6首歌曲，當月可下載曲數將於每月1日重新計算，未下載曲數隔月不累計；若次數不足時，本服務用戶可以單次購買，鈴聲20元/首。</w:t>
      </w:r>
    </w:p>
    <w:p>
      <w:pPr>
        <w:pStyle w:val="7"/>
        <w:numPr>
          <w:ilvl w:val="0"/>
          <w:numId w:val="4"/>
        </w:numPr>
        <w:spacing w:afterLines="10" w:line="220" w:lineRule="exact"/>
        <w:ind w:left="709" w:leftChars="0" w:hanging="338"/>
        <w:jc w:val="both"/>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至尊股票機適用於iOS 8.0(含)以上、Android 4.3(含)以上及Windows作業系統終端（最低需Windows 8）。至尊股票機資料以台灣證券交易所、財團法人中華民國櫃檯買賣中心、台灣期貨交易所公告為準，本服務資訊僅供參考，使用者依本資訊交易所發生之交易損失應自行負責，本公司對於資料內容錯誤、更新、延誤或傳輸中斷不負任何法律責任。</w:t>
      </w:r>
    </w:p>
    <w:p>
      <w:pPr>
        <w:pStyle w:val="7"/>
        <w:numPr>
          <w:ilvl w:val="0"/>
          <w:numId w:val="4"/>
        </w:numPr>
        <w:spacing w:afterLines="10" w:line="220" w:lineRule="exact"/>
        <w:ind w:left="709" w:leftChars="0" w:hanging="338"/>
        <w:jc w:val="both"/>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Hami書城月讀包僅適用於iOS 8.0(含)以上及Android 4.1(含)以上作業系統終端。本服務書籍內容將由系統自動派送至用戶雲端書櫃，無法指定書籍；書籍內容日日更新，因出版社電子版授權不一，電子雜誌與實體雜誌仍有些許差異，實際內容視各家出版社而定。瀏覽及下載本服務適用軟體需另計傳輸費；惟下載書籍內容至手機時下載傳輸費不另計。</w:t>
      </w:r>
    </w:p>
    <w:p>
      <w:pPr>
        <w:pStyle w:val="7"/>
        <w:numPr>
          <w:ilvl w:val="0"/>
          <w:numId w:val="4"/>
        </w:numPr>
        <w:spacing w:afterLines="10" w:line="220" w:lineRule="exact"/>
        <w:ind w:left="709" w:leftChars="0" w:hanging="338"/>
        <w:jc w:val="both"/>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申辦來電答鈴超值包+ CHT Wi-Fi優惠，申租期間不得單獨取消「來電答鈴基本型」、「答鈴音樂盒」及「CHT Wi-Fi」任一服務。「來電答鈴超值包」於最短租期後服務月租費恢復原價80元/月計費；CHT Wi-Fi（中華電信Wi-Fi無線上網）於最短租期後自動停止優惠。答鈴音樂盒每月將會依該類別的歌曲型態，自動更新5首答鈴，恕無法選擇歌曲內容，申租滿3個月後方可進線客服申請異動音樂盒類別。來電答鈴超值包於最短租期內另贈送免費下載五次答鈴歌曲，可透過手機直撥700語音下載，或上emome來電答鈴網頁、Hami來電答鈴手機網頁或APP下載。申辦CHT Wi-Fi客戶若為CHT會員，請使用行動電話及CHT會員密碼認證機制；若 emome帳號尚未升級為CHT會員者，請使用行動電話及emome密碼認證機制。Wi-Fi網路品質依國際標準歸類為「best effort」模式，以本公司採用產品技術可達之範圍為限，實際無線上網速率受連網終端設備之性能、擺放位置、空間距離、建物(裝潢)遮蔽、環境(溫濕度)變因、電磁波同頻段干擾、及到訪網站之連外頻寬…等眾多因素影響，不保證與客戶租用HiNet之有線頻寬及測速網站顯示之速率相符，亦無最低速率保證。Wi-Fi易因環境及無線傳輸技術等（諸如：微波爐、無線電話、藍牙裝置、其他Wi-Fi AP…等）因素影響，產生射頻干擾（如封包遺失、瞬斷…等），如因而導致直接或間接之損害或損失時，本公司不負任何損害賠償責任。</w:t>
      </w:r>
    </w:p>
    <w:p>
      <w:pPr>
        <w:pStyle w:val="7"/>
        <w:numPr>
          <w:ilvl w:val="0"/>
          <w:numId w:val="4"/>
        </w:numPr>
        <w:spacing w:afterLines="10" w:line="220" w:lineRule="exact"/>
        <w:ind w:left="709" w:leftChars="0" w:hanging="338"/>
        <w:jc w:val="both"/>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申辦來電答鈴超值包+色情守門員(行動版)優惠，申租期間不得單獨取消「來電答鈴基本型」、「答鈴音樂盒」及「色情守門員(行動版)」任一服務。答鈴音樂盒每月將會依該類別的歌曲型態，自動更新5首答鈴，恕無法選擇歌曲內容，申租滿3個月後方可進線客服申請異動音樂盒類別。來電答鈴超值包於最短租期內另贈送免費下載五次答鈴歌曲，可透過手機直撥700語音下載，或上emome來電答鈴網頁、Hami來電答鈴手機網頁或APP下載。色情守門員(行動版)雖可嚴密檢核並監控所有不當網頁，但全世界每天會有數百個新的不當網站產生，故系統無法做到百分之百即時防堵。由於網域名稱變化或IP位址改變，可能會導致本服務誤判，造成誤阻擋。因本服務主要針對網際網路URL所連結內容加以判斷過濾，若客戶透過 FTP、P2P分享軟體或點對點方式下載網際網路內容，因屬個人終端設備與該伺服器之連接行為，故不在此限。客戶如想針對E-mail內文或附加檔方式所傳送情色等不當內容圖片進行過濾，則須透過郵件服務業者提供，非屬本服務涵蓋範圍，但E-mail內文中若有不當URL連結則本服務可進行阻擋。</w:t>
      </w:r>
    </w:p>
    <w:p>
      <w:pPr>
        <w:pStyle w:val="7"/>
        <w:numPr>
          <w:ilvl w:val="0"/>
          <w:numId w:val="4"/>
        </w:numPr>
        <w:spacing w:afterLines="10" w:line="220" w:lineRule="exact"/>
        <w:ind w:left="709" w:leftChars="0" w:hanging="338"/>
        <w:jc w:val="both"/>
        <w:rPr>
          <w:rFonts w:ascii="Times New Roman" w:hAnsi="Times New Roman" w:eastAsia="標楷體" w:cs="Times New Roman"/>
          <w:kern w:val="0"/>
          <w:sz w:val="18"/>
          <w:szCs w:val="18"/>
        </w:rPr>
      </w:pPr>
      <w:r>
        <w:rPr>
          <w:rFonts w:hint="eastAsia" w:ascii="Times New Roman" w:hAnsi="Times New Roman" w:eastAsia="標楷體" w:cs="Times New Roman"/>
          <w:kern w:val="0"/>
          <w:sz w:val="18"/>
          <w:szCs w:val="18"/>
        </w:rPr>
        <w:t>i聽聽需搭載iOS 11.0與Android 5.0以上之智慧型手機與平板電腦，並在有網路的環境下方可使用，其內容日日更新，一帳號三裝置，跨載具共享，點播紀錄可同步。i聽聽支援中華電信用戶透過4G/5G行動網路自動認證登入，同時也可以Apple、Google、Facebook等註冊方式登入。</w:t>
      </w:r>
    </w:p>
    <w:p>
      <w:pPr>
        <w:pStyle w:val="7"/>
        <w:numPr>
          <w:ilvl w:val="0"/>
          <w:numId w:val="2"/>
        </w:numPr>
        <w:spacing w:afterLines="10" w:line="220" w:lineRule="exact"/>
        <w:ind w:left="567" w:leftChars="0"/>
        <w:jc w:val="both"/>
        <w:rPr>
          <w:rFonts w:ascii="標楷體" w:hAnsi="標楷體" w:eastAsia="標楷體"/>
          <w:sz w:val="20"/>
          <w:szCs w:val="20"/>
        </w:rPr>
      </w:pPr>
      <w:r>
        <w:rPr>
          <w:rFonts w:hint="eastAsia" w:ascii="標楷體" w:hAnsi="標楷體" w:eastAsia="標楷體"/>
          <w:sz w:val="20"/>
          <w:szCs w:val="20"/>
        </w:rPr>
        <w:t>申辦「單門號優惠方案」且選搭「精采Hami包」加值服務者，若於租約期間改為參加其它購機方案，將持續享有每項加購之加值服務優惠至原租約最短租期為止，如不擬繼續享加值服務優惠者(含提前解約：包含但不限於退租、一退一租、欠拆、調降資費至所選方案費率限制以下、轉預付卡等)，須繳還專案優惠補貼款，前述補貼款之計算方式：依實際已享加值月租費優惠金額(每項加值服務原價-優惠價/項)並依未滿租期按日遞減計收優惠最短租期屆滿後每月得以服務月租費原價租用加值服務至申請取消本優惠終止。</w:t>
      </w:r>
    </w:p>
    <w:p>
      <w:pPr>
        <w:pStyle w:val="7"/>
        <w:numPr>
          <w:ilvl w:val="0"/>
          <w:numId w:val="2"/>
        </w:numPr>
        <w:spacing w:afterLines="10" w:line="220" w:lineRule="exact"/>
        <w:ind w:left="567" w:leftChars="0"/>
        <w:jc w:val="both"/>
        <w:rPr>
          <w:rFonts w:ascii="標楷體" w:hAnsi="標楷體" w:eastAsia="標楷體"/>
          <w:sz w:val="20"/>
          <w:szCs w:val="20"/>
        </w:rPr>
      </w:pPr>
      <w:r>
        <w:rPr>
          <w:rFonts w:hint="eastAsia" w:ascii="標楷體" w:hAnsi="標楷體" w:eastAsia="標楷體"/>
          <w:sz w:val="20"/>
          <w:szCs w:val="20"/>
        </w:rPr>
        <w:t>各資費方案及專案優惠相關內容及限制未詳載於本同意書者，請詳中華電信公司於emome網站、門市公告、客服專線等途徑所公開之相關公告及說明。本公司保留本優惠活動修改、變動、終止之權利。本公司因實際業務作業，得於60天前，以簡訊、網站公告、或書面通知等方式通知客戶後，終止本契約。</w:t>
      </w:r>
    </w:p>
    <w:p>
      <w:pPr>
        <w:pStyle w:val="7"/>
        <w:numPr>
          <w:ilvl w:val="0"/>
          <w:numId w:val="1"/>
        </w:numPr>
        <w:spacing w:beforeLines="30" w:afterLines="30"/>
        <w:ind w:left="482" w:leftChars="0" w:hanging="482"/>
        <w:rPr>
          <w:rFonts w:ascii="標楷體" w:hAnsi="標楷體" w:eastAsia="標楷體"/>
          <w:spacing w:val="-16"/>
          <w:sz w:val="18"/>
          <w:szCs w:val="18"/>
        </w:rPr>
      </w:pPr>
      <w:r>
        <w:rPr>
          <w:rFonts w:hint="eastAsia" w:ascii="標楷體" w:hAnsi="標楷體" w:eastAsia="標楷體"/>
          <w:sz w:val="22"/>
        </w:rPr>
        <w:t>本同意書正本壹式貳份(共2頁)，由立同意書人留執正本乙份。</w:t>
      </w:r>
    </w:p>
    <w:p>
      <w:pPr>
        <w:pStyle w:val="7"/>
        <w:spacing w:afterLines="30"/>
        <w:ind w:left="482" w:leftChars="0"/>
        <w:rPr>
          <w:rFonts w:ascii="標楷體" w:hAnsi="標楷體" w:eastAsia="標楷體"/>
          <w:spacing w:val="-6"/>
          <w:sz w:val="22"/>
        </w:rPr>
      </w:pPr>
      <w:r>
        <w:rPr>
          <w:rFonts w:hint="eastAsia" w:ascii="標楷體" w:hAnsi="標楷體" w:eastAsia="標楷體"/>
          <w:spacing w:val="-6"/>
          <w:sz w:val="22"/>
          <w:bdr w:val="single" w:color="auto" w:sz="4" w:space="0"/>
        </w:rPr>
        <w:t>附註：本同意書須由申請人本人親自簽章，代簽名者須負法律責任。</w:t>
      </w:r>
    </w:p>
    <w:p>
      <w:pPr>
        <w:pStyle w:val="7"/>
        <w:spacing w:line="360" w:lineRule="auto"/>
        <w:ind w:left="482" w:leftChars="0"/>
        <w:rPr>
          <w:rFonts w:ascii="標楷體" w:hAnsi="標楷體" w:eastAsia="標楷體"/>
          <w:sz w:val="20"/>
          <w:szCs w:val="20"/>
        </w:rPr>
      </w:pPr>
      <w:r>
        <w:rPr>
          <w:rFonts w:hint="eastAsia" w:ascii="標楷體" w:hAnsi="標楷體" w:eastAsia="標楷體"/>
          <w:sz w:val="20"/>
          <w:szCs w:val="20"/>
        </w:rPr>
        <w:t xml:space="preserve">行動電話號碼：                               </w:t>
      </w:r>
      <w:r>
        <w:rPr>
          <w:rFonts w:ascii="標楷體" w:hAnsi="標楷體" w:eastAsia="標楷體"/>
          <w:sz w:val="20"/>
          <w:szCs w:val="20"/>
        </w:rPr>
        <w:tab/>
      </w:r>
      <w:r>
        <w:rPr>
          <w:rFonts w:hint="eastAsia" w:ascii="標楷體" w:hAnsi="標楷體" w:eastAsia="標楷體"/>
          <w:sz w:val="20"/>
          <w:szCs w:val="20"/>
        </w:rPr>
        <w:t>受託人：</w:t>
      </w:r>
    </w:p>
    <w:p>
      <w:pPr>
        <w:pStyle w:val="7"/>
        <w:spacing w:line="360" w:lineRule="auto"/>
        <w:ind w:left="482" w:leftChars="0"/>
        <w:rPr>
          <w:rFonts w:ascii="標楷體" w:hAnsi="標楷體" w:eastAsia="標楷體"/>
          <w:sz w:val="20"/>
          <w:szCs w:val="20"/>
        </w:rPr>
      </w:pPr>
      <w:r>
        <w:rPr>
          <w:rFonts w:hint="eastAsia" w:ascii="標楷體" w:hAnsi="標楷體" w:eastAsia="標楷體"/>
          <w:sz w:val="20"/>
          <w:szCs w:val="20"/>
        </w:rPr>
        <w:t>立同意書人：</w:t>
      </w:r>
      <w:r>
        <w:rPr>
          <w:rFonts w:hint="eastAsia" w:ascii="標楷體" w:hAnsi="標楷體" w:eastAsia="標楷體"/>
          <w:sz w:val="20"/>
          <w:szCs w:val="20"/>
        </w:rPr>
        <w:tab/>
      </w:r>
      <w:r>
        <w:rPr>
          <w:rFonts w:hint="eastAsia" w:ascii="標楷體" w:hAnsi="標楷體" w:eastAsia="標楷體"/>
          <w:sz w:val="20"/>
          <w:szCs w:val="20"/>
        </w:rPr>
        <w:t xml:space="preserve">  </w:t>
      </w:r>
      <w:r>
        <w:rPr>
          <w:rFonts w:ascii="標楷體" w:hAnsi="標楷體" w:eastAsia="標楷體"/>
          <w:sz w:val="20"/>
          <w:szCs w:val="20"/>
        </w:rPr>
        <w:tab/>
      </w:r>
      <w:r>
        <w:rPr>
          <w:rFonts w:ascii="標楷體" w:hAnsi="標楷體" w:eastAsia="標楷體"/>
          <w:sz w:val="20"/>
          <w:szCs w:val="20"/>
        </w:rPr>
        <w:tab/>
      </w:r>
      <w:r>
        <w:rPr>
          <w:rFonts w:ascii="標楷體" w:hAnsi="標楷體" w:eastAsia="標楷體"/>
          <w:sz w:val="20"/>
          <w:szCs w:val="20"/>
        </w:rPr>
        <w:tab/>
      </w:r>
      <w:r>
        <w:rPr>
          <w:rFonts w:ascii="標楷體" w:hAnsi="標楷體" w:eastAsia="標楷體"/>
          <w:sz w:val="20"/>
          <w:szCs w:val="20"/>
        </w:rPr>
        <w:tab/>
      </w:r>
      <w:r>
        <w:rPr>
          <w:rFonts w:ascii="標楷體" w:hAnsi="標楷體" w:eastAsia="標楷體"/>
          <w:sz w:val="20"/>
          <w:szCs w:val="20"/>
        </w:rPr>
        <w:tab/>
      </w:r>
      <w:r>
        <w:rPr>
          <w:rFonts w:ascii="標楷體" w:hAnsi="標楷體" w:eastAsia="標楷體"/>
          <w:sz w:val="20"/>
          <w:szCs w:val="20"/>
        </w:rPr>
        <w:tab/>
      </w:r>
      <w:r>
        <w:rPr>
          <w:rFonts w:ascii="標楷體" w:hAnsi="標楷體" w:eastAsia="標楷體"/>
          <w:sz w:val="20"/>
          <w:szCs w:val="20"/>
        </w:rPr>
        <w:tab/>
      </w:r>
      <w:r>
        <w:rPr>
          <w:rFonts w:hint="eastAsia" w:ascii="標楷體" w:hAnsi="標楷體" w:eastAsia="標楷體"/>
          <w:sz w:val="20"/>
          <w:szCs w:val="20"/>
        </w:rPr>
        <w:t>身分證號碼：</w:t>
      </w:r>
    </w:p>
    <w:p>
      <w:pPr>
        <w:pStyle w:val="7"/>
        <w:spacing w:line="360" w:lineRule="auto"/>
        <w:ind w:left="482" w:leftChars="0"/>
        <w:rPr>
          <w:rFonts w:ascii="標楷體" w:hAnsi="標楷體" w:eastAsia="標楷體"/>
          <w:sz w:val="20"/>
          <w:szCs w:val="20"/>
        </w:rPr>
      </w:pPr>
      <w:r>
        <w:rPr>
          <w:rFonts w:hint="eastAsia" w:ascii="標楷體" w:hAnsi="標楷體" w:eastAsia="標楷體"/>
          <w:sz w:val="20"/>
          <w:szCs w:val="20"/>
        </w:rPr>
        <w:t>身分證號碼（統一編號）：</w:t>
      </w:r>
      <w:r>
        <w:rPr>
          <w:rFonts w:hint="eastAsia" w:ascii="標楷體" w:hAnsi="標楷體" w:eastAsia="標楷體"/>
          <w:sz w:val="20"/>
          <w:szCs w:val="20"/>
        </w:rPr>
        <w:tab/>
      </w:r>
      <w:r>
        <w:rPr>
          <w:rFonts w:hint="eastAsia" w:ascii="標楷體" w:hAnsi="標楷體" w:eastAsia="標楷體"/>
          <w:sz w:val="20"/>
          <w:szCs w:val="20"/>
        </w:rPr>
        <w:t xml:space="preserve">                       </w:t>
      </w:r>
      <w:r>
        <w:rPr>
          <w:rFonts w:ascii="標楷體" w:hAnsi="標楷體" w:eastAsia="標楷體"/>
          <w:sz w:val="20"/>
          <w:szCs w:val="20"/>
        </w:rPr>
        <w:tab/>
      </w:r>
      <w:r>
        <w:rPr>
          <w:rFonts w:hint="eastAsia" w:ascii="標楷體" w:hAnsi="標楷體" w:eastAsia="標楷體"/>
          <w:sz w:val="20"/>
          <w:szCs w:val="20"/>
          <w:bdr w:val="single" w:color="auto" w:sz="4" w:space="0"/>
        </w:rPr>
        <w:t>受託人填具之上開資料，本公司僅作申辦業務及聯絡使用</w:t>
      </w:r>
    </w:p>
    <w:p>
      <w:pPr>
        <w:pStyle w:val="7"/>
        <w:spacing w:afterLines="30" w:line="360" w:lineRule="auto"/>
        <w:ind w:left="482" w:leftChars="0"/>
        <w:rPr>
          <w:rFonts w:ascii="標楷體" w:hAnsi="標楷體" w:eastAsia="標楷體"/>
          <w:sz w:val="20"/>
          <w:szCs w:val="20"/>
        </w:rPr>
      </w:pPr>
      <w:r>
        <w:rPr>
          <w:rFonts w:hint="eastAsia" w:ascii="標楷體" w:hAnsi="標楷體" w:eastAsia="標楷體"/>
          <w:sz w:val="20"/>
          <w:szCs w:val="20"/>
        </w:rPr>
        <w:t xml:space="preserve">經辦單位：                                     </w:t>
      </w:r>
      <w:r>
        <w:rPr>
          <w:rFonts w:ascii="標楷體" w:hAnsi="標楷體" w:eastAsia="標楷體"/>
          <w:sz w:val="20"/>
          <w:szCs w:val="20"/>
        </w:rPr>
        <w:tab/>
      </w:r>
      <w:r>
        <w:rPr>
          <w:rFonts w:hint="eastAsia" w:ascii="標楷體" w:hAnsi="標楷體" w:eastAsia="標楷體"/>
          <w:sz w:val="20"/>
          <w:szCs w:val="20"/>
        </w:rPr>
        <w:t>受理員簽章：</w:t>
      </w:r>
    </w:p>
    <w:p>
      <w:pPr>
        <w:pStyle w:val="7"/>
        <w:spacing w:line="360" w:lineRule="auto"/>
        <w:ind w:left="482" w:leftChars="0"/>
        <w:rPr>
          <w:rFonts w:ascii="標楷體" w:hAnsi="標楷體" w:eastAsia="標楷體"/>
          <w:sz w:val="20"/>
          <w:szCs w:val="20"/>
        </w:rPr>
      </w:pPr>
      <w:r>
        <w:rPr>
          <w:rFonts w:hint="eastAsia" w:ascii="標楷體" w:hAnsi="標楷體" w:eastAsia="標楷體"/>
          <w:sz w:val="20"/>
          <w:szCs w:val="20"/>
        </w:rPr>
        <w:t xml:space="preserve">中華民國        年        月        日                                               </w:t>
      </w:r>
      <w:r>
        <w:rPr>
          <w:rFonts w:hint="eastAsia" w:ascii="標楷體" w:hAnsi="標楷體" w:eastAsia="標楷體"/>
          <w:sz w:val="20"/>
          <w:szCs w:val="20"/>
          <w:highlight w:val="green"/>
        </w:rPr>
        <w:t>109.12.07</w:t>
      </w:r>
    </w:p>
    <w:sectPr>
      <w:headerReference r:id="rId4" w:type="default"/>
      <w:footerReference r:id="rId5" w:type="default"/>
      <w:pgSz w:w="11906" w:h="16838"/>
      <w:pgMar w:top="426" w:right="566" w:bottom="851" w:left="567" w:header="374"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新細明體">
    <w:panose1 w:val="02020500000000000000"/>
    <w:charset w:val="88"/>
    <w:family w:val="auto"/>
    <w:pitch w:val="default"/>
    <w:sig w:usb0="A00002FF" w:usb1="28CFFCFA" w:usb2="00000016" w:usb3="00000000" w:csb0="00100001" w:csb1="00000000"/>
  </w:font>
  <w:font w:name="標楷體">
    <w:panose1 w:val="03000509000000000000"/>
    <w:charset w:val="88"/>
    <w:family w:val="auto"/>
    <w:pitch w:val="default"/>
    <w:sig w:usb0="00000003" w:usb1="082E0000" w:usb2="00000016" w:usb3="00000000" w:csb0="00100001" w:csb1="00000000"/>
  </w:font>
  <w:font w:name="Wingdings 2">
    <w:altName w:val="Wingdings"/>
    <w:panose1 w:val="05020102010507070707"/>
    <w:charset w:val="02"/>
    <w:family w:val="auto"/>
    <w:pitch w:val="default"/>
    <w:sig w:usb0="00000000" w:usb1="1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PAGE   \* MERGEFORMAT</w:instrText>
    </w:r>
    <w:r>
      <w:fldChar w:fldCharType="separate"/>
    </w:r>
    <w:r>
      <w:rPr>
        <w:lang w:val="zh-TW"/>
      </w:rPr>
      <w:t>2</w:t>
    </w:r>
    <w:r>
      <w:fldChar w:fldCharType="end"/>
    </w:r>
    <w:r>
      <w:rPr>
        <w:rFonts w:hint="eastAsia"/>
      </w:rPr>
      <w:t>/2</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napToGrid w:val="0"/>
      <w:spacing w:line="300" w:lineRule="exact"/>
      <w:jc w:val="center"/>
      <w:rPr>
        <w:rFonts w:ascii="標楷體" w:hAnsi="標楷體" w:eastAsia="標楷體" w:cs="Times New Roman"/>
        <w:b/>
        <w:bCs/>
        <w:sz w:val="28"/>
        <w:szCs w:val="28"/>
      </w:rPr>
    </w:pPr>
    <w:r>
      <w:rPr>
        <w:rFonts w:ascii="Times New Roman" w:hAnsi="Times New Roman" w:eastAsia="標楷體" w:cs="Times New Roman"/>
        <w:b/>
        <w:kern w:val="2"/>
        <w:sz w:val="28"/>
        <w:szCs w:val="28"/>
        <w:lang w:val="en-US" w:eastAsia="zh-TW" w:bidi="ar-SA"/>
      </w:rPr>
      <w:pict>
        <v:rect id="文字方塊 2" o:spid="_x0000_s1025" style="position:absolute;left:0;margin-left:6.15pt;margin-top:-0.7pt;height:41.25pt;width:96pt;rotation:0f;z-index:251658240;" o:ole="f" fillcolor="#FFFFFF" filled="t" o:preferrelative="t" stroked="t" coordsize="21600,21600">
          <v:stroke weight="1.5pt" color="#000000" color2="#FFFFFF" miterlimit="2"/>
          <v:imagedata gain="65536f" blacklevel="0f" gamma="0"/>
          <o:lock v:ext="edit" position="f" selection="f" grouping="f" rotation="f" cropping="f" text="f" aspectratio="f"/>
          <v:textbox inset="2.83pt,0.00pt,2.83pt,0.00pt">
            <w:txbxContent>
              <w:p>
                <w:pPr>
                  <w:snapToGrid w:val="0"/>
                  <w:spacing w:beforeLines="10" w:line="180" w:lineRule="exact"/>
                  <w:jc w:val="both"/>
                  <w:rPr>
                    <w:rFonts w:ascii="標楷體" w:hAnsi="標楷體" w:eastAsia="標楷體"/>
                    <w:color w:val="FF0000"/>
                    <w:spacing w:val="-10"/>
                    <w:sz w:val="16"/>
                    <w:szCs w:val="16"/>
                  </w:rPr>
                </w:pPr>
                <w:r>
                  <w:rPr>
                    <w:rFonts w:hint="eastAsia" w:ascii="標楷體" w:hAnsi="標楷體" w:eastAsia="標楷體"/>
                    <w:color w:val="FF0000"/>
                    <w:spacing w:val="-10"/>
                    <w:sz w:val="16"/>
                    <w:szCs w:val="16"/>
                  </w:rPr>
                  <w:t>參加本方案</w:t>
                </w:r>
                <w:r>
                  <w:rPr>
                    <w:rFonts w:hint="eastAsia" w:ascii="標楷體" w:hAnsi="標楷體" w:eastAsia="標楷體"/>
                    <w:b/>
                    <w:color w:val="FF0000"/>
                    <w:spacing w:val="-10"/>
                    <w:sz w:val="16"/>
                    <w:szCs w:val="16"/>
                  </w:rPr>
                  <w:t>須另填</w:t>
                </w:r>
                <w:r>
                  <w:rPr>
                    <w:rFonts w:hint="eastAsia" w:ascii="標楷體" w:hAnsi="標楷體" w:eastAsia="標楷體"/>
                    <w:color w:val="FF0000"/>
                    <w:spacing w:val="-10"/>
                    <w:sz w:val="16"/>
                    <w:szCs w:val="16"/>
                  </w:rPr>
                  <w:t>4G 398金好講購機(24)(30)/</w:t>
                </w:r>
                <w:r>
                  <w:rPr>
                    <w:rFonts w:hint="eastAsia"/>
                  </w:rPr>
                  <w:t xml:space="preserve"> </w:t>
                </w:r>
                <w:r>
                  <w:rPr>
                    <w:rFonts w:hint="eastAsia" w:ascii="標楷體" w:hAnsi="標楷體" w:eastAsia="標楷體"/>
                    <w:color w:val="FF0000"/>
                    <w:spacing w:val="-10"/>
                    <w:sz w:val="16"/>
                    <w:szCs w:val="16"/>
                  </w:rPr>
                  <w:t>4G 398金好講單門號(24)優惠方案</w:t>
                </w:r>
                <w:r>
                  <w:rPr>
                    <w:rFonts w:hint="eastAsia" w:ascii="標楷體" w:hAnsi="標楷體" w:eastAsia="標楷體"/>
                    <w:b/>
                    <w:color w:val="FF0000"/>
                    <w:spacing w:val="-10"/>
                    <w:sz w:val="16"/>
                    <w:szCs w:val="16"/>
                  </w:rPr>
                  <w:t>同意書</w:t>
                </w:r>
              </w:p>
            </w:txbxContent>
          </v:textbox>
        </v:rect>
      </w:pict>
    </w:r>
    <w:r>
      <w:rPr>
        <w:rFonts w:hint="eastAsia" w:ascii="Times New Roman" w:hAnsi="Times New Roman" w:eastAsia="標楷體" w:cs="Times New Roman"/>
        <w:b/>
        <w:szCs w:val="24"/>
      </w:rPr>
      <w:t xml:space="preserve">  </w:t>
    </w:r>
    <w:r>
      <w:rPr>
        <w:rFonts w:hint="eastAsia" w:ascii="Times New Roman" w:hAnsi="Times New Roman" w:eastAsia="標楷體" w:cs="Times New Roman"/>
        <w:b/>
        <w:sz w:val="28"/>
        <w:szCs w:val="28"/>
      </w:rPr>
      <w:t>「4G 398金好講優惠方案」</w:t>
    </w:r>
    <w:r>
      <w:rPr>
        <w:rFonts w:hint="eastAsia" w:ascii="標楷體" w:hAnsi="標楷體" w:eastAsia="標楷體" w:cs="Times New Roman"/>
        <w:b/>
        <w:sz w:val="28"/>
        <w:szCs w:val="28"/>
      </w:rPr>
      <w:t>加值服務附加方案同意</w:t>
    </w:r>
    <w:r>
      <w:rPr>
        <w:rFonts w:ascii="標楷體" w:hAnsi="標楷體" w:eastAsia="標楷體" w:cs="Times New Roman"/>
        <w:b/>
        <w:sz w:val="28"/>
        <w:szCs w:val="28"/>
      </w:rPr>
      <w:t>書</w:t>
    </w:r>
  </w:p>
  <w:p>
    <w:pPr>
      <w:snapToGrid w:val="0"/>
      <w:spacing w:beforeLines="20" w:line="240" w:lineRule="exact"/>
      <w:ind w:right="-228" w:rightChars="-95"/>
      <w:jc w:val="center"/>
      <w:rPr>
        <w:rFonts w:ascii="標楷體" w:hAnsi="標楷體" w:eastAsia="標楷體" w:cs="Times New Roman"/>
        <w:b/>
        <w:sz w:val="20"/>
        <w:szCs w:val="20"/>
      </w:rPr>
    </w:pPr>
    <w:r>
      <w:rPr>
        <w:rFonts w:hint="eastAsia" w:ascii="標楷體" w:hAnsi="標楷體" w:eastAsia="標楷體" w:cs="Times New Roman"/>
        <w:b/>
        <w:bCs/>
        <w:spacing w:val="-10"/>
        <w:sz w:val="20"/>
        <w:szCs w:val="20"/>
      </w:rPr>
      <w:t>《限促案</w:t>
    </w:r>
    <w:r>
      <w:rPr>
        <w:rFonts w:ascii="標楷體" w:hAnsi="標楷體" w:eastAsia="標楷體" w:cs="Times New Roman"/>
        <w:b/>
        <w:bCs/>
        <w:spacing w:val="-10"/>
        <w:sz w:val="20"/>
        <w:szCs w:val="20"/>
      </w:rPr>
      <w:t>ID</w:t>
    </w:r>
    <w:r>
      <w:rPr>
        <w:rFonts w:hint="eastAsia" w:ascii="標楷體" w:hAnsi="標楷體" w:eastAsia="標楷體" w:cs="Times New Roman"/>
        <w:b/>
        <w:bCs/>
        <w:spacing w:val="-10"/>
        <w:sz w:val="20"/>
        <w:szCs w:val="20"/>
      </w:rPr>
      <w:t>:32562/32591/30838》</w:t>
    </w:r>
  </w:p>
  <w:p>
    <w:pPr>
      <w:pStyle w:val="5"/>
      <w:jc w:val="right"/>
      <w:rPr>
        <w:rFonts w:ascii="標楷體" w:hAnsi="標楷體" w:eastAsia="標楷體" w:cs="Times New Roman"/>
        <w:b/>
      </w:rPr>
    </w:pPr>
    <w:r>
      <w:rPr>
        <w:rFonts w:hint="eastAsia" w:ascii="標楷體" w:hAnsi="標楷體" w:eastAsia="標楷體" w:cs="Times New Roman"/>
        <w:b/>
        <w:spacing w:val="-10"/>
      </w:rPr>
      <w:t>行動電話號碼</w:t>
    </w:r>
    <w:r>
      <w:rPr>
        <w:rFonts w:hint="eastAsia" w:ascii="標楷體" w:hAnsi="標楷體" w:eastAsia="標楷體" w:cs="Times New Roman"/>
        <w:b/>
        <w:spacing w:val="-14"/>
      </w:rPr>
      <w:t>：</w:t>
    </w:r>
    <w:r>
      <w:rPr>
        <w:rFonts w:hint="eastAsia" w:ascii="標楷體" w:hAnsi="標楷體" w:eastAsia="標楷體" w:cs="Times New Roman"/>
        <w:b/>
      </w:rPr>
      <w:t>____________________</w:t>
    </w:r>
  </w:p>
  <w:p>
    <w:pPr>
      <w:pStyle w:val="5"/>
    </w:pPr>
    <w:r>
      <w:rPr>
        <w:rFonts w:ascii="Calibri" w:hAnsi="Calibri"/>
        <w:kern w:val="2"/>
        <w:sz w:val="20"/>
        <w:szCs w:val="20"/>
        <w:lang w:val="en-US" w:eastAsia="zh-TW" w:bidi="ar-SA"/>
      </w:rPr>
      <w:pict>
        <v:line id="直線接點 1" o:spid="_x0000_s1026" style="position:absolute;left:0;margin-left:0.15pt;margin-top:4.95pt;height:0.5pt;width:539pt;rotation:0f;z-index:251659264;" o:ole="f" fillcolor="#FFFFFF" filled="f" o:preferrelative="t" stroked="t" coordsize="21600,21600">
          <v:fill on="f" color2="#FFFFFF" focus="0%"/>
          <v:stroke weight="1.5pt" color="#000000" color2="#FFFFFF" miterlimit="2"/>
          <v:imagedata gain="65536f" blacklevel="0f" gamma="0"/>
          <o:lock v:ext="edit" position="f" selection="f" grouping="f" rotation="f" cropping="f" text="f" aspectratio="f"/>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16744069">
    <w:nsid w:val="36A46785"/>
    <w:multiLevelType w:val="multilevel"/>
    <w:tmpl w:val="36A46785"/>
    <w:lvl w:ilvl="0" w:tentative="1">
      <w:start w:val="1"/>
      <w:numFmt w:val="taiwaneseCountingThousand"/>
      <w:lvlText w:val="%1、"/>
      <w:lvlJc w:val="left"/>
      <w:pPr>
        <w:ind w:left="480" w:hanging="480"/>
      </w:pPr>
      <w:rPr>
        <w:sz w:val="22"/>
        <w:szCs w:val="22"/>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50315360">
    <w:nsid w:val="4A864C60"/>
    <w:multiLevelType w:val="multilevel"/>
    <w:tmpl w:val="4A864C60"/>
    <w:lvl w:ilvl="0" w:tentative="1">
      <w:start w:val="1"/>
      <w:numFmt w:val="taiwaneseCountingThousand"/>
      <w:lvlText w:val="(%1)"/>
      <w:lvlJc w:val="left"/>
      <w:pPr>
        <w:ind w:left="960" w:hanging="480"/>
      </w:pPr>
      <w:rPr>
        <w:rFonts w:hint="eastAsia"/>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398749195">
    <w:nsid w:val="17C46E0B"/>
    <w:multiLevelType w:val="multilevel"/>
    <w:tmpl w:val="17C46E0B"/>
    <w:lvl w:ilvl="0" w:tentative="1">
      <w:start w:val="1"/>
      <w:numFmt w:val="decimal"/>
      <w:lvlText w:val="(%1)"/>
      <w:lvlJc w:val="left"/>
      <w:pPr>
        <w:ind w:left="720" w:hanging="480"/>
      </w:pPr>
      <w:rPr>
        <w:rFonts w:hint="default"/>
        <w:strike w:val="0"/>
      </w:rPr>
    </w:lvl>
    <w:lvl w:ilvl="1" w:tentative="1">
      <w:start w:val="1"/>
      <w:numFmt w:val="ideographTraditional"/>
      <w:lvlText w:val="%2、"/>
      <w:lvlJc w:val="left"/>
      <w:pPr>
        <w:ind w:left="1200" w:hanging="480"/>
      </w:pPr>
    </w:lvl>
    <w:lvl w:ilvl="2" w:tentative="1">
      <w:start w:val="1"/>
      <w:numFmt w:val="lowerRoman"/>
      <w:lvlText w:val="%3."/>
      <w:lvlJc w:val="right"/>
      <w:pPr>
        <w:ind w:left="1680" w:hanging="480"/>
      </w:pPr>
    </w:lvl>
    <w:lvl w:ilvl="3" w:tentative="1">
      <w:start w:val="1"/>
      <w:numFmt w:val="decimal"/>
      <w:lvlText w:val="%4."/>
      <w:lvlJc w:val="left"/>
      <w:pPr>
        <w:ind w:left="2160" w:hanging="480"/>
      </w:pPr>
    </w:lvl>
    <w:lvl w:ilvl="4" w:tentative="1">
      <w:start w:val="1"/>
      <w:numFmt w:val="ideographTraditional"/>
      <w:lvlText w:val="%5、"/>
      <w:lvlJc w:val="left"/>
      <w:pPr>
        <w:ind w:left="2640" w:hanging="480"/>
      </w:pPr>
    </w:lvl>
    <w:lvl w:ilvl="5" w:tentative="1">
      <w:start w:val="1"/>
      <w:numFmt w:val="lowerRoman"/>
      <w:lvlText w:val="%6."/>
      <w:lvlJc w:val="right"/>
      <w:pPr>
        <w:ind w:left="3120" w:hanging="480"/>
      </w:pPr>
    </w:lvl>
    <w:lvl w:ilvl="6" w:tentative="1">
      <w:start w:val="1"/>
      <w:numFmt w:val="decimal"/>
      <w:lvlText w:val="%7."/>
      <w:lvlJc w:val="left"/>
      <w:pPr>
        <w:ind w:left="3600" w:hanging="480"/>
      </w:pPr>
    </w:lvl>
    <w:lvl w:ilvl="7" w:tentative="1">
      <w:start w:val="1"/>
      <w:numFmt w:val="ideographTraditional"/>
      <w:lvlText w:val="%8、"/>
      <w:lvlJc w:val="left"/>
      <w:pPr>
        <w:ind w:left="4080" w:hanging="480"/>
      </w:pPr>
    </w:lvl>
    <w:lvl w:ilvl="8" w:tentative="1">
      <w:start w:val="1"/>
      <w:numFmt w:val="lowerRoman"/>
      <w:lvlText w:val="%9."/>
      <w:lvlJc w:val="right"/>
      <w:pPr>
        <w:ind w:left="4560" w:hanging="480"/>
      </w:pPr>
    </w:lvl>
  </w:abstractNum>
  <w:abstractNum w:abstractNumId="1562868480">
    <w:nsid w:val="5D277B00"/>
    <w:multiLevelType w:val="multilevel"/>
    <w:tmpl w:val="5D277B00"/>
    <w:lvl w:ilvl="0" w:tentative="1">
      <w:start w:val="1"/>
      <w:numFmt w:val="decimal"/>
      <w:lvlText w:val="%1."/>
      <w:lvlJc w:val="left"/>
      <w:pPr>
        <w:ind w:left="720" w:hanging="480"/>
      </w:pPr>
      <w:rPr>
        <w:rFonts w:hint="default"/>
        <w:strike w:val="0"/>
      </w:rPr>
    </w:lvl>
    <w:lvl w:ilvl="1" w:tentative="1">
      <w:start w:val="1"/>
      <w:numFmt w:val="ideographTraditional"/>
      <w:lvlText w:val="%2、"/>
      <w:lvlJc w:val="left"/>
      <w:pPr>
        <w:ind w:left="1200" w:hanging="480"/>
      </w:pPr>
    </w:lvl>
    <w:lvl w:ilvl="2" w:tentative="1">
      <w:start w:val="1"/>
      <w:numFmt w:val="lowerRoman"/>
      <w:lvlText w:val="%3."/>
      <w:lvlJc w:val="right"/>
      <w:pPr>
        <w:ind w:left="1680" w:hanging="480"/>
      </w:pPr>
    </w:lvl>
    <w:lvl w:ilvl="3" w:tentative="1">
      <w:start w:val="1"/>
      <w:numFmt w:val="decimal"/>
      <w:lvlText w:val="%4."/>
      <w:lvlJc w:val="left"/>
      <w:pPr>
        <w:ind w:left="2160" w:hanging="480"/>
      </w:pPr>
    </w:lvl>
    <w:lvl w:ilvl="4" w:tentative="1">
      <w:start w:val="1"/>
      <w:numFmt w:val="ideographTraditional"/>
      <w:lvlText w:val="%5、"/>
      <w:lvlJc w:val="left"/>
      <w:pPr>
        <w:ind w:left="2640" w:hanging="480"/>
      </w:pPr>
    </w:lvl>
    <w:lvl w:ilvl="5" w:tentative="1">
      <w:start w:val="1"/>
      <w:numFmt w:val="lowerRoman"/>
      <w:lvlText w:val="%6."/>
      <w:lvlJc w:val="right"/>
      <w:pPr>
        <w:ind w:left="3120" w:hanging="480"/>
      </w:pPr>
    </w:lvl>
    <w:lvl w:ilvl="6" w:tentative="1">
      <w:start w:val="1"/>
      <w:numFmt w:val="decimal"/>
      <w:lvlText w:val="%7."/>
      <w:lvlJc w:val="left"/>
      <w:pPr>
        <w:ind w:left="3600" w:hanging="480"/>
      </w:pPr>
    </w:lvl>
    <w:lvl w:ilvl="7" w:tentative="1">
      <w:start w:val="1"/>
      <w:numFmt w:val="ideographTraditional"/>
      <w:lvlText w:val="%8、"/>
      <w:lvlJc w:val="left"/>
      <w:pPr>
        <w:ind w:left="4080" w:hanging="480"/>
      </w:pPr>
    </w:lvl>
    <w:lvl w:ilvl="8" w:tentative="1">
      <w:start w:val="1"/>
      <w:numFmt w:val="lowerRoman"/>
      <w:lvlText w:val="%9."/>
      <w:lvlJc w:val="right"/>
      <w:pPr>
        <w:ind w:left="4560" w:hanging="480"/>
      </w:pPr>
    </w:lvl>
  </w:abstractNum>
  <w:num w:numId="1">
    <w:abstractNumId w:val="916744069"/>
  </w:num>
  <w:num w:numId="2">
    <w:abstractNumId w:val="1250315360"/>
  </w:num>
  <w:num w:numId="3">
    <w:abstractNumId w:val="1562868480"/>
  </w:num>
  <w:num w:numId="4">
    <w:abstractNumId w:val="3987491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pPr>
    <w:rPr>
      <w:rFonts w:ascii="Calibri" w:hAnsi="Calibri"/>
      <w:kern w:val="2"/>
      <w:sz w:val="24"/>
      <w:szCs w:val="22"/>
      <w:lang w:val="en-US" w:eastAsia="zh-TW" w:bidi="ar-SA"/>
    </w:rPr>
  </w:style>
  <w:style w:type="character" w:default="1" w:styleId="6">
    <w:name w:val="Default Paragraph Font"/>
    <w:semiHidden/>
    <w:unhideWhenUsed/>
    <w:uiPriority w:val="1"/>
  </w:style>
  <w:style w:type="paragraph" w:styleId="2">
    <w:name w:val="Body Text Indent"/>
    <w:basedOn w:val="1"/>
    <w:link w:val="10"/>
    <w:semiHidden/>
    <w:unhideWhenUsed/>
    <w:uiPriority w:val="99"/>
    <w:pPr>
      <w:spacing w:after="120"/>
      <w:ind w:left="480" w:leftChars="200"/>
    </w:pPr>
  </w:style>
  <w:style w:type="paragraph" w:styleId="3">
    <w:name w:val="Block Text"/>
    <w:basedOn w:val="1"/>
    <w:link w:val="11"/>
    <w:uiPriority w:val="0"/>
    <w:pPr>
      <w:ind w:left="518" w:right="-28" w:hanging="518" w:hangingChars="185"/>
      <w:jc w:val="both"/>
    </w:pPr>
    <w:rPr>
      <w:rFonts w:ascii="標楷體" w:hAnsi="Times New Roman" w:eastAsia="標楷體" w:cs="Times New Roman"/>
      <w:sz w:val="28"/>
      <w:szCs w:val="24"/>
    </w:rPr>
  </w:style>
  <w:style w:type="paragraph" w:styleId="4">
    <w:name w:val="footer"/>
    <w:basedOn w:val="1"/>
    <w:link w:val="9"/>
    <w:unhideWhenUsed/>
    <w:uiPriority w:val="99"/>
    <w:pPr>
      <w:tabs>
        <w:tab w:val="center" w:pos="4153"/>
        <w:tab w:val="right" w:pos="8306"/>
      </w:tabs>
      <w:snapToGrid w:val="0"/>
    </w:pPr>
    <w:rPr>
      <w:sz w:val="20"/>
      <w:szCs w:val="20"/>
    </w:rPr>
  </w:style>
  <w:style w:type="paragraph" w:styleId="5">
    <w:name w:val="header"/>
    <w:basedOn w:val="1"/>
    <w:link w:val="8"/>
    <w:unhideWhenUsed/>
    <w:uiPriority w:val="99"/>
    <w:pPr>
      <w:tabs>
        <w:tab w:val="center" w:pos="4153"/>
        <w:tab w:val="right" w:pos="8306"/>
      </w:tabs>
      <w:snapToGrid w:val="0"/>
    </w:pPr>
    <w:rPr>
      <w:sz w:val="20"/>
      <w:szCs w:val="20"/>
    </w:rPr>
  </w:style>
  <w:style w:type="paragraph" w:customStyle="1" w:styleId="7">
    <w:name w:val="List Paragraph"/>
    <w:basedOn w:val="1"/>
    <w:qFormat/>
    <w:uiPriority w:val="34"/>
    <w:pPr>
      <w:ind w:left="480" w:leftChars="200"/>
    </w:pPr>
  </w:style>
  <w:style w:type="character" w:customStyle="1" w:styleId="8">
    <w:name w:val="頁首 字元"/>
    <w:basedOn w:val="6"/>
    <w:link w:val="5"/>
    <w:uiPriority w:val="99"/>
    <w:rPr>
      <w:sz w:val="20"/>
      <w:szCs w:val="20"/>
    </w:rPr>
  </w:style>
  <w:style w:type="character" w:customStyle="1" w:styleId="9">
    <w:name w:val="頁尾 字元"/>
    <w:basedOn w:val="6"/>
    <w:link w:val="4"/>
    <w:uiPriority w:val="99"/>
    <w:rPr>
      <w:sz w:val="20"/>
      <w:szCs w:val="20"/>
    </w:rPr>
  </w:style>
  <w:style w:type="character" w:customStyle="1" w:styleId="10">
    <w:name w:val="本文縮排 字元"/>
    <w:basedOn w:val="6"/>
    <w:link w:val="2"/>
    <w:semiHidden/>
    <w:uiPriority w:val="99"/>
    <w:rPr/>
  </w:style>
  <w:style w:type="character" w:customStyle="1" w:styleId="11">
    <w:name w:val="區塊文字 字元"/>
    <w:link w:val="3"/>
    <w:uiPriority w:val="0"/>
    <w:rPr>
      <w:rFonts w:ascii="標楷體" w:hAnsi="Times New Roman" w:eastAsia="標楷體" w:cs="Times New Roman"/>
      <w:sz w:val="28"/>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753</Words>
  <Characters>4295</Characters>
  <Lines>35</Lines>
  <Paragraphs>10</Paragraphs>
  <ScaleCrop>false</ScaleCrop>
  <LinksUpToDate>false</LinksUpToDate>
  <CharactersWithSpaces>0</CharactersWithSpaces>
  <Application>WPS Office 個人版_9.1.0.4468_{F1E327BC-269C-435d-A152-05C5408002CA}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2020-12-16T12:13:00Z</dcterms:created>
  <dc:creator>sunny</dc:creator>
  <cp:lastModifiedBy>user22</cp:lastModifiedBy>
  <dcterms:modified xsi:type="dcterms:W3CDTF">2021-09-02T11:58:38Z</dcterms:modified>
  <dc:title>本人/本公司申辦中華電信加值服務附加方案，茲詳閱並同意下列條款：</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